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ind w:left="-90" w:firstLine="0"/>
        <w:rPr>
          <w:b w:val="1"/>
          <w:bCs w:val="1"/>
          <w:smallCaps w:val="1"/>
          <w:sz w:val="16"/>
          <w:szCs w:val="16"/>
        </w:rPr>
      </w:pPr>
      <w:r w:rsidDel="00000000" w:rsidR="00000000" w:rsidRPr="00000000">
        <w:rPr>
          <w:rtl w:val="0"/>
        </w:rPr>
      </w:r>
    </w:p>
    <w:p w:rsidR="00000000" w:rsidDel="00000000" w:rsidP="00000000" w:rsidRDefault="00000000" w:rsidRPr="00000000" w14:paraId="00000002">
      <w:pPr>
        <w:spacing w:after="100" w:lineRule="auto"/>
        <w:rPr/>
      </w:pPr>
      <w:r w:rsidDel="00000000" w:rsidR="00000000" w:rsidRPr="00000000">
        <w:rPr>
          <w:b w:val="1"/>
          <w:bCs w:val="1"/>
          <w:smallCaps w:val="1"/>
          <w:sz w:val="72"/>
          <w:szCs w:val="72"/>
          <w:rtl w:val="0"/>
        </w:rPr>
        <w:t xml:space="preserve">     Case Study</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b w:val="1"/>
          <w:bCs w:val="1"/>
          <w:smallCaps w:val="1"/>
          <w:sz w:val="52"/>
          <w:szCs w:val="52"/>
          <w:rtl w:val="0"/>
        </w:rPr>
        <w:t xml:space="preserve">Driving Seamless M&amp;A Integration Under a Unified Business Vision</w:t>
      </w:r>
      <w:r w:rsidDel="00000000" w:rsidR="00000000" w:rsidRPr="00000000">
        <w:rPr>
          <w:rtl w:val="0"/>
        </w:rPr>
      </w:r>
    </w:p>
    <w:p w:rsidR="00000000" w:rsidDel="00000000" w:rsidP="00000000" w:rsidRDefault="00000000" w:rsidRPr="00000000" w14:paraId="00000004">
      <w:pPr>
        <w:spacing w:after="400" w:lineRule="auto"/>
        <w:jc w:val="center"/>
        <w:rPr/>
      </w:pPr>
      <w:r w:rsidDel="00000000" w:rsidR="00000000" w:rsidRPr="00000000">
        <w:rPr>
          <w:rFonts w:ascii="Calibri" w:cs="Calibri" w:eastAsia="Calibri" w:hAnsi="Calibri"/>
          <w:i w:val="1"/>
          <w:iCs w:val="1"/>
          <w:color w:val="333333"/>
          <w:sz w:val="24"/>
          <w:szCs w:val="24"/>
          <w:rtl w:val="0"/>
        </w:rPr>
        <w:t xml:space="preserve">Multinational Post-Merger Integration: US, Germany &amp; China</w:t>
      </w:r>
      <w:r w:rsidDel="00000000" w:rsidR="00000000" w:rsidRPr="00000000">
        <w:rPr>
          <w:rtl w:val="0"/>
        </w:rPr>
      </w:r>
    </w:p>
    <w:tbl>
      <w:tblPr>
        <w:tblStyle w:val="Table1"/>
        <w:tblW w:w="10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90"/>
        <w:tblGridChange w:id="0">
          <w:tblGrid>
            <w:gridCol w:w="108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2060" w:val="clear"/>
            <w:tcMar>
              <w:top w:w="200.0" w:type="dxa"/>
              <w:left w:w="300.0" w:type="dxa"/>
              <w:bottom w:w="200.0" w:type="dxa"/>
              <w:right w:w="300.0" w:type="dxa"/>
            </w:tcMar>
          </w:tcPr>
          <w:p w:rsidR="00000000" w:rsidDel="00000000" w:rsidP="00000000" w:rsidRDefault="00000000" w:rsidRPr="00000000" w14:paraId="00000005">
            <w:pPr>
              <w:spacing w:after="100" w:lineRule="auto"/>
              <w:jc w:val="center"/>
              <w:rPr>
                <w:color w:val="ffffff"/>
                <w:highlight w:val="white"/>
              </w:rPr>
            </w:pPr>
            <w:r w:rsidDel="00000000" w:rsidR="00000000" w:rsidRPr="00000000">
              <w:rPr>
                <w:b w:val="1"/>
                <w:bCs w:val="1"/>
                <w:color w:val="ffffff"/>
                <w:highlight w:val="white"/>
                <w:rtl w:val="0"/>
              </w:rPr>
              <w:t xml:space="preserve">PARTNERSHIP ENGAGEMENT</w:t>
            </w:r>
            <w:r w:rsidDel="00000000" w:rsidR="00000000" w:rsidRPr="00000000">
              <w:rPr>
                <w:rtl w:val="0"/>
              </w:rPr>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This case study documents a collaborative engagement where </w:t>
            </w:r>
            <w:r w:rsidDel="00000000" w:rsidR="00000000" w:rsidRPr="00000000">
              <w:rPr>
                <w:b w:val="1"/>
                <w:bCs w:val="1"/>
                <w:highlight w:val="white"/>
                <w:rtl w:val="0"/>
              </w:rPr>
              <w:t xml:space="preserve">Fueled Consulting Group</w:t>
            </w:r>
            <w:r w:rsidDel="00000000" w:rsidR="00000000" w:rsidRPr="00000000">
              <w:rPr>
                <w:highlight w:val="white"/>
                <w:rtl w:val="0"/>
              </w:rPr>
              <w:t xml:space="preserve"> provided key project management resources to support </w:t>
            </w:r>
            <w:r w:rsidDel="00000000" w:rsidR="00000000" w:rsidRPr="00000000">
              <w:rPr>
                <w:b w:val="1"/>
                <w:bCs w:val="1"/>
                <w:highlight w:val="white"/>
                <w:rtl w:val="0"/>
              </w:rPr>
              <w:t xml:space="preserve">5280 PMO</w:t>
            </w:r>
            <w:r w:rsidDel="00000000" w:rsidR="00000000" w:rsidRPr="00000000">
              <w:rPr>
                <w:highlight w:val="white"/>
                <w:rtl w:val="0"/>
              </w:rPr>
              <w:t xml:space="preserve"> in delivering a complex multinational M&amp;A integration. 5280 PMO served as the prime contractor with direct client engagement, while Fueled Consulting contributed specialized expertise through our Project Management Director.</w:t>
            </w:r>
          </w:p>
        </w:tc>
      </w:tr>
    </w:tbl>
    <w:p w:rsidR="00000000" w:rsidDel="00000000" w:rsidP="00000000" w:rsidRDefault="00000000" w:rsidRPr="00000000" w14:paraId="00000007">
      <w:pPr>
        <w:pStyle w:val="Heading3"/>
        <w:rPr/>
      </w:pPr>
      <w:r w:rsidDel="00000000" w:rsidR="00000000" w:rsidRPr="00000000">
        <w:rPr>
          <w:rtl w:val="0"/>
        </w:rPr>
        <w:t xml:space="preserve">Executive Summary</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Fueled Consulting Group partnered with 5280 PMO to support a complex post-merger integration involving a US-based acquiring company and two acquired business operations located in Germany and China. Our Project Management Director played a critical role in ensuring minimal disruption to employees and customers while executing a comprehensive integration strategy.</w:t>
      </w:r>
    </w:p>
    <w:tbl>
      <w:tblPr>
        <w:tblStyle w:val="Table2"/>
        <w:tblW w:w="108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2"/>
        <w:gridCol w:w="6186"/>
        <w:tblGridChange w:id="0">
          <w:tblGrid>
            <w:gridCol w:w="4702"/>
            <w:gridCol w:w="6186"/>
          </w:tblGrid>
        </w:tblGridChange>
      </w:tblGrid>
      <w:tr>
        <w:trPr>
          <w:cantSplit w:val="0"/>
          <w:tblHeader w:val="0"/>
        </w:trPr>
        <w:tc>
          <w:tcPr>
            <w:tcBorders>
              <w:top w:color="e0e0e0" w:space="0" w:sz="4" w:val="single"/>
              <w:left w:color="e0e0e0" w:space="0" w:sz="4" w:val="single"/>
              <w:bottom w:color="e0e0e0" w:space="0" w:sz="4" w:val="single"/>
              <w:right w:color="e0e0e0" w:space="0" w:sz="4" w:val="single"/>
            </w:tcBorders>
            <w:shd w:fill="c00000" w:val="clear"/>
            <w:tcMar>
              <w:top w:w="100.0" w:type="dxa"/>
              <w:left w:w="150.0" w:type="dxa"/>
              <w:bottom w:w="100.0" w:type="dxa"/>
              <w:right w:w="150.0" w:type="dxa"/>
            </w:tcMar>
          </w:tcPr>
          <w:p w:rsidR="00000000" w:rsidDel="00000000" w:rsidP="00000000" w:rsidRDefault="00000000" w:rsidRPr="00000000" w14:paraId="00000009">
            <w:pPr>
              <w:jc w:val="center"/>
              <w:rPr/>
            </w:pPr>
            <w:r w:rsidDel="00000000" w:rsidR="00000000" w:rsidRPr="00000000">
              <w:rPr>
                <w:b w:val="1"/>
                <w:bCs w:val="1"/>
                <w:color w:val="ffffff"/>
                <w:rtl w:val="0"/>
              </w:rPr>
              <w:t xml:space="preserve">Achievement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c00000" w:val="clear"/>
            <w:tcMar>
              <w:top w:w="100.0" w:type="dxa"/>
              <w:left w:w="150.0" w:type="dxa"/>
              <w:bottom w:w="100.0" w:type="dxa"/>
              <w:right w:w="150.0" w:type="dxa"/>
            </w:tcMar>
          </w:tcPr>
          <w:p w:rsidR="00000000" w:rsidDel="00000000" w:rsidP="00000000" w:rsidRDefault="00000000" w:rsidRPr="00000000" w14:paraId="0000000A">
            <w:pPr>
              <w:jc w:val="center"/>
              <w:rPr/>
            </w:pPr>
            <w:r w:rsidDel="00000000" w:rsidR="00000000" w:rsidRPr="00000000">
              <w:rPr>
                <w:b w:val="1"/>
                <w:bCs w:val="1"/>
                <w:color w:val="ffffff"/>
                <w:rtl w:val="0"/>
              </w:rPr>
              <w:t xml:space="preserve">Result</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0B">
            <w:pPr>
              <w:rPr/>
            </w:pPr>
            <w:r w:rsidDel="00000000" w:rsidR="00000000" w:rsidRPr="00000000">
              <w:rPr>
                <w:b w:val="1"/>
                <w:bCs w:val="1"/>
                <w:rtl w:val="0"/>
              </w:rPr>
              <w:t xml:space="preserve">Performance Improvement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0C">
            <w:pPr>
              <w:rPr/>
            </w:pPr>
            <w:r w:rsidDel="00000000" w:rsidR="00000000" w:rsidRPr="00000000">
              <w:rPr>
                <w:rtl w:val="0"/>
              </w:rPr>
              <w:t xml:space="preserve">~7 months from Discovery to completion</w:t>
            </w:r>
          </w:p>
        </w:tc>
      </w:tr>
      <w:tr>
        <w:trPr>
          <w:cantSplit w:val="0"/>
          <w:tblHeader w:val="0"/>
        </w:trPr>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0D">
            <w:pPr>
              <w:rPr/>
            </w:pPr>
            <w:r w:rsidDel="00000000" w:rsidR="00000000" w:rsidRPr="00000000">
              <w:rPr>
                <w:b w:val="1"/>
                <w:bCs w:val="1"/>
                <w:rtl w:val="0"/>
              </w:rPr>
              <w:t xml:space="preserve">Scalable Architecture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0E">
            <w:pPr>
              <w:rPr/>
            </w:pPr>
            <w:r w:rsidDel="00000000" w:rsidR="00000000" w:rsidRPr="00000000">
              <w:rPr>
                <w:rtl w:val="0"/>
              </w:rPr>
              <w:t xml:space="preserve">Successful NetSuite implementation with minimal downtime</w:t>
            </w:r>
          </w:p>
        </w:tc>
      </w:tr>
      <w:tr>
        <w:trPr>
          <w:cantSplit w:val="0"/>
          <w:tblHeader w:val="0"/>
        </w:trPr>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0F">
            <w:pPr>
              <w:rPr/>
            </w:pPr>
            <w:r w:rsidDel="00000000" w:rsidR="00000000" w:rsidRPr="00000000">
              <w:rPr>
                <w:b w:val="1"/>
                <w:bCs w:val="1"/>
                <w:rtl w:val="0"/>
              </w:rPr>
              <w:t xml:space="preserve">Pipeline Optimization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10">
            <w:pPr>
              <w:rPr/>
            </w:pPr>
            <w:r w:rsidDel="00000000" w:rsidR="00000000" w:rsidRPr="00000000">
              <w:rPr>
                <w:rtl w:val="0"/>
              </w:rPr>
              <w:t xml:space="preserve">738 test cases created and executed</w:t>
            </w:r>
          </w:p>
        </w:tc>
      </w:tr>
      <w:tr>
        <w:trPr>
          <w:cantSplit w:val="0"/>
          <w:tblHeader w:val="0"/>
        </w:trPr>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11">
            <w:pPr>
              <w:rPr/>
            </w:pPr>
            <w:r w:rsidDel="00000000" w:rsidR="00000000" w:rsidRPr="00000000">
              <w:rPr>
                <w:b w:val="1"/>
                <w:bCs w:val="1"/>
                <w:rtl w:val="0"/>
              </w:rPr>
              <w:t xml:space="preserve">Governance Framework</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12">
            <w:pPr>
              <w:rPr/>
            </w:pPr>
            <w:r w:rsidDel="00000000" w:rsidR="00000000" w:rsidRPr="00000000">
              <w:rPr>
                <w:rtl w:val="0"/>
              </w:rPr>
              <w:t xml:space="preserve">111 modules delivered bilingually (English &amp; German)</w:t>
            </w:r>
          </w:p>
        </w:tc>
      </w:tr>
      <w:tr>
        <w:trPr>
          <w:cantSplit w:val="0"/>
          <w:tblHeader w:val="0"/>
        </w:trPr>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13">
            <w:pPr>
              <w:rPr/>
            </w:pPr>
            <w:r w:rsidDel="00000000" w:rsidR="00000000" w:rsidRPr="00000000">
              <w:rPr>
                <w:b w:val="1"/>
                <w:bCs w:val="1"/>
                <w:rtl w:val="0"/>
              </w:rPr>
              <w:t xml:space="preserve">Risk Management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14">
            <w:pPr>
              <w:rPr/>
            </w:pPr>
            <w:r w:rsidDel="00000000" w:rsidR="00000000" w:rsidRPr="00000000">
              <w:rPr>
                <w:rtl w:val="0"/>
              </w:rPr>
              <w:t xml:space="preserve">71% positive eNPS survey responses</w:t>
            </w:r>
          </w:p>
        </w:tc>
      </w:tr>
      <w:tr>
        <w:trPr>
          <w:cantSplit w:val="0"/>
          <w:tblHeader w:val="0"/>
        </w:trPr>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15">
            <w:pPr>
              <w:rPr/>
            </w:pPr>
            <w:r w:rsidDel="00000000" w:rsidR="00000000" w:rsidRPr="00000000">
              <w:rPr>
                <w:b w:val="1"/>
                <w:bCs w:val="1"/>
                <w:rtl w:val="0"/>
              </w:rPr>
              <w:t xml:space="preserve">Cultural Transformation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tcMar>
              <w:top w:w="80.0" w:type="dxa"/>
              <w:left w:w="150.0" w:type="dxa"/>
              <w:bottom w:w="80.0" w:type="dxa"/>
              <w:right w:w="150.0" w:type="dxa"/>
            </w:tcMar>
          </w:tcPr>
          <w:p w:rsidR="00000000" w:rsidDel="00000000" w:rsidP="00000000" w:rsidRDefault="00000000" w:rsidRPr="00000000" w14:paraId="00000016">
            <w:pPr>
              <w:rPr/>
            </w:pPr>
            <w:r w:rsidDel="00000000" w:rsidR="00000000" w:rsidRPr="00000000">
              <w:rPr>
                <w:rtl w:val="0"/>
              </w:rPr>
              <w:t xml:space="preserve">30 shipments processed post-cutover</w:t>
            </w:r>
          </w:p>
        </w:tc>
      </w:tr>
    </w:tbl>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The Challenge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left"/>
        <w:rPr>
          <w:rFonts w:ascii="Arial" w:cs="Arial" w:eastAsia="Arial" w:hAnsi="Arial"/>
          <w:b w:val="1"/>
          <w:bCs w:val="1"/>
          <w:i w:val="1"/>
          <w:iCs w:val="1"/>
          <w:smallCaps w:val="0"/>
          <w:strike w:val="0"/>
          <w:color w:val="c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c00000"/>
          <w:sz w:val="24"/>
          <w:szCs w:val="24"/>
          <w:u w:val="none"/>
          <w:shd w:fill="auto" w:val="clear"/>
          <w:vertAlign w:val="baseline"/>
          <w:rtl w:val="0"/>
        </w:rPr>
        <w:t xml:space="preserve">Aligning Two Global Entities Under a Unified Business Vision</w:t>
      </w:r>
    </w:p>
    <w:p w:rsidR="00000000" w:rsidDel="00000000" w:rsidP="00000000" w:rsidRDefault="00000000" w:rsidRPr="00000000" w14:paraId="00000019">
      <w:pPr>
        <w:jc w:val="both"/>
        <w:rPr/>
      </w:pPr>
      <w:r w:rsidDel="00000000" w:rsidR="00000000" w:rsidRPr="00000000">
        <w:rPr>
          <w:rtl w:val="0"/>
        </w:rPr>
        <w:t xml:space="preserve">The acquisition required a seamless integration of people, processes, and technology while minimizing disruption to ongoing business operations. The goal was to align both entities under a single, cohesive business model to be stronger together.</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Critical success factors included:</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Integrating systems across multiple regions (Germany, US, and China)</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Onboarding employees onto new platforms and methodologies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Establishing leadership structures aligned with parent company frameworks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Ensuring operational efficiency and business continuity throughout</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Supporting language needs and regional time zone differences</w:t>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The Goals</w:t>
      </w:r>
    </w:p>
    <w:p w:rsidR="00000000" w:rsidDel="00000000" w:rsidP="00000000" w:rsidRDefault="00000000" w:rsidRPr="00000000" w14:paraId="00000022">
      <w:pPr>
        <w:spacing w:after="150" w:lineRule="auto"/>
        <w:rPr>
          <w:b w:val="1"/>
          <w:bCs w:val="1"/>
          <w:i w:val="1"/>
          <w:iCs w:val="1"/>
          <w:color w:val="c00000"/>
          <w:sz w:val="24"/>
          <w:szCs w:val="24"/>
        </w:rPr>
      </w:pPr>
      <w:r w:rsidDel="00000000" w:rsidR="00000000" w:rsidRPr="00000000">
        <w:rPr>
          <w:b w:val="1"/>
          <w:bCs w:val="1"/>
          <w:i w:val="1"/>
          <w:iCs w:val="1"/>
          <w:color w:val="c00000"/>
          <w:sz w:val="24"/>
          <w:szCs w:val="24"/>
          <w:rtl w:val="0"/>
        </w:rPr>
        <w:t xml:space="preserve">Creating a Unified and Efficient Business Unit</w:t>
      </w:r>
    </w:p>
    <w:tbl>
      <w:tblPr>
        <w:tblStyle w:val="Table3"/>
        <w:tblW w:w="108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8"/>
        <w:gridCol w:w="7396"/>
        <w:tblGridChange w:id="0">
          <w:tblGrid>
            <w:gridCol w:w="3488"/>
            <w:gridCol w:w="7396"/>
          </w:tblGrid>
        </w:tblGridChange>
      </w:tblGrid>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100.0" w:type="dxa"/>
              <w:left w:w="150.0" w:type="dxa"/>
              <w:bottom w:w="100.0" w:type="dxa"/>
              <w:right w:w="150.0" w:type="dxa"/>
            </w:tcMar>
            <w:vAlign w:val="center"/>
          </w:tcPr>
          <w:p w:rsidR="00000000" w:rsidDel="00000000" w:rsidP="00000000" w:rsidRDefault="00000000" w:rsidRPr="00000000" w14:paraId="00000023">
            <w:pPr>
              <w:rPr>
                <w:b w:val="1"/>
                <w:bCs w:val="1"/>
                <w:color w:val="1e3a5f"/>
              </w:rPr>
            </w:pPr>
            <w:r w:rsidDel="00000000" w:rsidR="00000000" w:rsidRPr="00000000">
              <w:rPr>
                <w:b w:val="1"/>
                <w:bCs w:val="1"/>
                <w:color w:val="1e3a5f"/>
                <w:rtl w:val="0"/>
              </w:rPr>
              <w:t xml:space="preserve">Business Continuity</w:t>
            </w:r>
          </w:p>
        </w:tc>
        <w:tc>
          <w:tcPr>
            <w:tcBorders>
              <w:top w:color="e0e0e0" w:space="0" w:sz="4" w:val="single"/>
              <w:left w:color="e0e0e0" w:space="0" w:sz="4" w:val="single"/>
              <w:bottom w:color="e0e0e0" w:space="0" w:sz="4" w:val="single"/>
              <w:right w:color="e0e0e0" w:space="0" w:sz="4" w:val="single"/>
            </w:tcBorders>
            <w:tcMar>
              <w:top w:w="100.0" w:type="dxa"/>
              <w:left w:w="150.0" w:type="dxa"/>
              <w:bottom w:w="100.0" w:type="dxa"/>
              <w:right w:w="150.0" w:type="dxa"/>
            </w:tcMar>
          </w:tcPr>
          <w:p w:rsidR="00000000" w:rsidDel="00000000" w:rsidP="00000000" w:rsidRDefault="00000000" w:rsidRPr="00000000" w14:paraId="00000024">
            <w:pPr>
              <w:rPr/>
            </w:pPr>
            <w:r w:rsidDel="00000000" w:rsidR="00000000" w:rsidRPr="00000000">
              <w:rPr>
                <w:rtl w:val="0"/>
              </w:rPr>
              <w:t xml:space="preserve">Minimizing operational disruptions while transitioning to new systems and processes</w:t>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100.0" w:type="dxa"/>
              <w:left w:w="150.0" w:type="dxa"/>
              <w:bottom w:w="100.0" w:type="dxa"/>
              <w:right w:w="150.0" w:type="dxa"/>
            </w:tcMar>
            <w:vAlign w:val="center"/>
          </w:tcPr>
          <w:p w:rsidR="00000000" w:rsidDel="00000000" w:rsidP="00000000" w:rsidRDefault="00000000" w:rsidRPr="00000000" w14:paraId="00000025">
            <w:pPr>
              <w:rPr>
                <w:b w:val="1"/>
                <w:bCs w:val="1"/>
                <w:color w:val="1e3a5f"/>
              </w:rPr>
            </w:pPr>
            <w:r w:rsidDel="00000000" w:rsidR="00000000" w:rsidRPr="00000000">
              <w:rPr>
                <w:b w:val="1"/>
                <w:bCs w:val="1"/>
                <w:color w:val="1e3a5f"/>
                <w:rtl w:val="0"/>
              </w:rPr>
              <w:t xml:space="preserve">NetSuite Migration</w:t>
            </w:r>
          </w:p>
        </w:tc>
        <w:tc>
          <w:tcPr>
            <w:tcBorders>
              <w:top w:color="e0e0e0" w:space="0" w:sz="4" w:val="single"/>
              <w:left w:color="e0e0e0" w:space="0" w:sz="4" w:val="single"/>
              <w:bottom w:color="e0e0e0" w:space="0" w:sz="4" w:val="single"/>
              <w:right w:color="e0e0e0" w:space="0" w:sz="4" w:val="single"/>
            </w:tcBorders>
            <w:tcMar>
              <w:top w:w="100.0" w:type="dxa"/>
              <w:left w:w="150.0" w:type="dxa"/>
              <w:bottom w:w="100.0" w:type="dxa"/>
              <w:right w:w="150.0" w:type="dxa"/>
            </w:tcMar>
          </w:tcPr>
          <w:p w:rsidR="00000000" w:rsidDel="00000000" w:rsidP="00000000" w:rsidRDefault="00000000" w:rsidRPr="00000000" w14:paraId="00000026">
            <w:pPr>
              <w:rPr/>
            </w:pPr>
            <w:r w:rsidDel="00000000" w:rsidR="00000000" w:rsidRPr="00000000">
              <w:rPr>
                <w:rtl w:val="0"/>
              </w:rPr>
              <w:t xml:space="preserve">Successfully migrating accounting, customer support, products, processes and operational utilization with minimal downtime</w:t>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100.0" w:type="dxa"/>
              <w:left w:w="150.0" w:type="dxa"/>
              <w:bottom w:w="100.0" w:type="dxa"/>
              <w:right w:w="150.0" w:type="dxa"/>
            </w:tcMar>
            <w:vAlign w:val="center"/>
          </w:tcPr>
          <w:p w:rsidR="00000000" w:rsidDel="00000000" w:rsidP="00000000" w:rsidRDefault="00000000" w:rsidRPr="00000000" w14:paraId="00000027">
            <w:pPr>
              <w:rPr>
                <w:b w:val="1"/>
                <w:bCs w:val="1"/>
                <w:color w:val="1e3a5f"/>
              </w:rPr>
            </w:pPr>
            <w:r w:rsidDel="00000000" w:rsidR="00000000" w:rsidRPr="00000000">
              <w:rPr>
                <w:b w:val="1"/>
                <w:bCs w:val="1"/>
                <w:color w:val="1e3a5f"/>
                <w:rtl w:val="0"/>
              </w:rPr>
              <w:t xml:space="preserve">Employee Onboarding</w:t>
            </w:r>
          </w:p>
        </w:tc>
        <w:tc>
          <w:tcPr>
            <w:tcBorders>
              <w:top w:color="e0e0e0" w:space="0" w:sz="4" w:val="single"/>
              <w:left w:color="e0e0e0" w:space="0" w:sz="4" w:val="single"/>
              <w:bottom w:color="e0e0e0" w:space="0" w:sz="4" w:val="single"/>
              <w:right w:color="e0e0e0" w:space="0" w:sz="4" w:val="single"/>
            </w:tcBorders>
            <w:tcMar>
              <w:top w:w="100.0" w:type="dxa"/>
              <w:left w:w="150.0" w:type="dxa"/>
              <w:bottom w:w="100.0" w:type="dxa"/>
              <w:right w:w="150.0" w:type="dxa"/>
            </w:tcMar>
          </w:tcPr>
          <w:p w:rsidR="00000000" w:rsidDel="00000000" w:rsidP="00000000" w:rsidRDefault="00000000" w:rsidRPr="00000000" w14:paraId="00000028">
            <w:pPr>
              <w:rPr/>
            </w:pPr>
            <w:r w:rsidDel="00000000" w:rsidR="00000000" w:rsidRPr="00000000">
              <w:rPr>
                <w:rtl w:val="0"/>
              </w:rPr>
              <w:t xml:space="preserve">Migrating employees from acquired entities onto the core organization's platform and training them in core operational methodologies</w:t>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100.0" w:type="dxa"/>
              <w:left w:w="150.0" w:type="dxa"/>
              <w:bottom w:w="100.0" w:type="dxa"/>
              <w:right w:w="150.0" w:type="dxa"/>
            </w:tcMar>
            <w:vAlign w:val="center"/>
          </w:tcPr>
          <w:p w:rsidR="00000000" w:rsidDel="00000000" w:rsidP="00000000" w:rsidRDefault="00000000" w:rsidRPr="00000000" w14:paraId="00000029">
            <w:pPr>
              <w:rPr>
                <w:b w:val="1"/>
                <w:bCs w:val="1"/>
                <w:color w:val="1e3a5f"/>
              </w:rPr>
            </w:pPr>
            <w:r w:rsidDel="00000000" w:rsidR="00000000" w:rsidRPr="00000000">
              <w:rPr>
                <w:b w:val="1"/>
                <w:bCs w:val="1"/>
                <w:color w:val="1e3a5f"/>
                <w:rtl w:val="0"/>
              </w:rPr>
              <w:t xml:space="preserve">Leadership Structure</w:t>
            </w:r>
          </w:p>
        </w:tc>
        <w:tc>
          <w:tcPr>
            <w:tcBorders>
              <w:top w:color="e0e0e0" w:space="0" w:sz="4" w:val="single"/>
              <w:left w:color="e0e0e0" w:space="0" w:sz="4" w:val="single"/>
              <w:bottom w:color="e0e0e0" w:space="0" w:sz="4" w:val="single"/>
              <w:right w:color="e0e0e0" w:space="0" w:sz="4" w:val="single"/>
            </w:tcBorders>
            <w:tcMar>
              <w:top w:w="100.0" w:type="dxa"/>
              <w:left w:w="150.0" w:type="dxa"/>
              <w:bottom w:w="100.0" w:type="dxa"/>
              <w:right w:w="150.0" w:type="dxa"/>
            </w:tcMar>
          </w:tcPr>
          <w:p w:rsidR="00000000" w:rsidDel="00000000" w:rsidP="00000000" w:rsidRDefault="00000000" w:rsidRPr="00000000" w14:paraId="0000002A">
            <w:pPr>
              <w:rPr/>
            </w:pPr>
            <w:r w:rsidDel="00000000" w:rsidR="00000000" w:rsidRPr="00000000">
              <w:rPr>
                <w:rtl w:val="0"/>
              </w:rPr>
              <w:t xml:space="preserve">Defining new leadership roles and training leaders on daily management supporting the parent company's methodology</w:t>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100.0" w:type="dxa"/>
              <w:left w:w="150.0" w:type="dxa"/>
              <w:bottom w:w="100.0" w:type="dxa"/>
              <w:right w:w="150.0" w:type="dxa"/>
            </w:tcMar>
            <w:vAlign w:val="center"/>
          </w:tcPr>
          <w:p w:rsidR="00000000" w:rsidDel="00000000" w:rsidP="00000000" w:rsidRDefault="00000000" w:rsidRPr="00000000" w14:paraId="0000002B">
            <w:pPr>
              <w:rPr>
                <w:b w:val="1"/>
                <w:bCs w:val="1"/>
                <w:color w:val="1e3a5f"/>
              </w:rPr>
            </w:pPr>
            <w:r w:rsidDel="00000000" w:rsidR="00000000" w:rsidRPr="00000000">
              <w:rPr>
                <w:b w:val="1"/>
                <w:bCs w:val="1"/>
                <w:color w:val="1e3a5f"/>
                <w:rtl w:val="0"/>
              </w:rPr>
              <w:t xml:space="preserve">Operational Excellence</w:t>
            </w:r>
          </w:p>
        </w:tc>
        <w:tc>
          <w:tcPr>
            <w:tcBorders>
              <w:top w:color="e0e0e0" w:space="0" w:sz="4" w:val="single"/>
              <w:left w:color="e0e0e0" w:space="0" w:sz="4" w:val="single"/>
              <w:bottom w:color="e0e0e0" w:space="0" w:sz="4" w:val="single"/>
              <w:right w:color="e0e0e0" w:space="0" w:sz="4" w:val="single"/>
            </w:tcBorders>
            <w:tcMar>
              <w:top w:w="100.0" w:type="dxa"/>
              <w:left w:w="150.0" w:type="dxa"/>
              <w:bottom w:w="100.0" w:type="dxa"/>
              <w:right w:w="150.0" w:type="dxa"/>
            </w:tcMar>
          </w:tcPr>
          <w:p w:rsidR="00000000" w:rsidDel="00000000" w:rsidP="00000000" w:rsidRDefault="00000000" w:rsidRPr="00000000" w14:paraId="0000002C">
            <w:pPr>
              <w:rPr/>
            </w:pPr>
            <w:r w:rsidDel="00000000" w:rsidR="00000000" w:rsidRPr="00000000">
              <w:rPr>
                <w:rtl w:val="0"/>
              </w:rPr>
              <w:t xml:space="preserve">Strengthening governance structures and optimizing integration frameworks through continuous improvement</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Fueled Consulting's Contribution</w:t>
      </w:r>
    </w:p>
    <w:p w:rsidR="00000000" w:rsidDel="00000000" w:rsidP="00000000" w:rsidRDefault="00000000" w:rsidRPr="00000000" w14:paraId="0000002F">
      <w:pPr>
        <w:spacing w:after="150" w:lineRule="auto"/>
        <w:rPr>
          <w:b w:val="1"/>
          <w:bCs w:val="1"/>
          <w:i w:val="1"/>
          <w:iCs w:val="1"/>
          <w:color w:val="c00000"/>
          <w:sz w:val="24"/>
          <w:szCs w:val="24"/>
        </w:rPr>
      </w:pPr>
      <w:r w:rsidDel="00000000" w:rsidR="00000000" w:rsidRPr="00000000">
        <w:rPr>
          <w:b w:val="1"/>
          <w:bCs w:val="1"/>
          <w:i w:val="1"/>
          <w:iCs w:val="1"/>
          <w:color w:val="c00000"/>
          <w:sz w:val="24"/>
          <w:szCs w:val="24"/>
          <w:rtl w:val="0"/>
        </w:rPr>
        <w:t xml:space="preserve">Your Vision, Our Execution</w:t>
      </w:r>
    </w:p>
    <w:p w:rsidR="00000000" w:rsidDel="00000000" w:rsidP="00000000" w:rsidRDefault="00000000" w:rsidRPr="00000000" w14:paraId="00000030">
      <w:pPr>
        <w:spacing w:after="200" w:lineRule="auto"/>
        <w:jc w:val="both"/>
        <w:rPr/>
      </w:pPr>
      <w:r w:rsidDel="00000000" w:rsidR="00000000" w:rsidRPr="00000000">
        <w:rPr>
          <w:rtl w:val="0"/>
        </w:rPr>
        <w:t xml:space="preserve">Fueled Consulting Group provided specialized project management expertise to support this complex multinational integration. Our contribution exemplifies our core value proposition: delivering practical business strategy solutions that drive economic value while ensuring skill transfer and long-term sustainability.</w:t>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Key Contributions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Provided experienced Project Management Director with expertise in M&amp;A integration and ERP implementations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Supported bilingual communication and coordination across German and English-speaking teams</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Contributed to the structured, multi-phase approach for managing the integration</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Assisted with change management, training development, and stakeholder communication</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Helped optimize the Integration Management Office (IMO) governance practices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Supported regional time zone coordination and local project management needs</w:t>
      </w:r>
    </w:p>
    <w:p w:rsidR="00000000" w:rsidDel="00000000" w:rsidP="00000000" w:rsidRDefault="00000000" w:rsidRPr="00000000" w14:paraId="00000038">
      <w:pPr>
        <w:pStyle w:val="Heading3"/>
        <w:rPr/>
      </w:pPr>
      <w:r w:rsidDel="00000000" w:rsidR="00000000" w:rsidRPr="00000000">
        <w:rPr>
          <w:rtl w:val="0"/>
        </w:rPr>
        <w:t xml:space="preserve">The Approach</w:t>
      </w:r>
    </w:p>
    <w:p w:rsidR="00000000" w:rsidDel="00000000" w:rsidP="00000000" w:rsidRDefault="00000000" w:rsidRPr="00000000" w14:paraId="00000039">
      <w:pPr>
        <w:spacing w:after="150" w:lineRule="auto"/>
        <w:rPr>
          <w:b w:val="1"/>
          <w:bCs w:val="1"/>
          <w:i w:val="1"/>
          <w:iCs w:val="1"/>
          <w:color w:val="c00000"/>
          <w:sz w:val="24"/>
          <w:szCs w:val="24"/>
        </w:rPr>
      </w:pPr>
      <w:r w:rsidDel="00000000" w:rsidR="00000000" w:rsidRPr="00000000">
        <w:rPr>
          <w:b w:val="1"/>
          <w:bCs w:val="1"/>
          <w:i w:val="1"/>
          <w:iCs w:val="1"/>
          <w:color w:val="c00000"/>
          <w:sz w:val="24"/>
          <w:szCs w:val="24"/>
          <w:rtl w:val="0"/>
        </w:rPr>
        <w:t xml:space="preserve">A Structured and Agile Integration Process</w:t>
      </w:r>
    </w:p>
    <w:p w:rsidR="00000000" w:rsidDel="00000000" w:rsidP="00000000" w:rsidRDefault="00000000" w:rsidRPr="00000000" w14:paraId="0000003A">
      <w:pPr>
        <w:spacing w:after="150" w:lineRule="auto"/>
        <w:rPr/>
      </w:pPr>
      <w:r w:rsidDel="00000000" w:rsidR="00000000" w:rsidRPr="00000000">
        <w:rPr>
          <w:rtl w:val="0"/>
        </w:rPr>
        <w:t xml:space="preserve">The integration followed a methodical, multi-phase approach:</w:t>
      </w:r>
    </w:p>
    <w:p w:rsidR="00000000" w:rsidDel="00000000" w:rsidP="00000000" w:rsidRDefault="00000000" w:rsidRPr="00000000" w14:paraId="0000003B">
      <w:pPr>
        <w:spacing w:after="100" w:before="150" w:lineRule="auto"/>
        <w:rPr>
          <w:b w:val="1"/>
          <w:bCs w:val="1"/>
          <w:color w:val="1e3a5f"/>
          <w:sz w:val="24"/>
          <w:szCs w:val="24"/>
        </w:rPr>
      </w:pPr>
      <w:r w:rsidDel="00000000" w:rsidR="00000000" w:rsidRPr="00000000">
        <w:rPr>
          <w:b w:val="1"/>
          <w:bCs w:val="1"/>
          <w:color w:val="1e3a5f"/>
          <w:sz w:val="24"/>
          <w:szCs w:val="24"/>
          <w:rtl w:val="0"/>
        </w:rPr>
        <w:t xml:space="preserve">Phase 1: Initiation (Oct 2024 – Jan 2025)</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Conducted discovery sessions and identified key integration requirements</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Developed a structured roadmap and alignment strategy</w:t>
      </w:r>
    </w:p>
    <w:p w:rsidR="00000000" w:rsidDel="00000000" w:rsidP="00000000" w:rsidRDefault="00000000" w:rsidRPr="00000000" w14:paraId="0000003E">
      <w:pPr>
        <w:spacing w:after="100" w:before="150" w:lineRule="auto"/>
        <w:rPr>
          <w:b w:val="1"/>
          <w:bCs w:val="1"/>
          <w:color w:val="1e3a5f"/>
          <w:sz w:val="24"/>
          <w:szCs w:val="24"/>
        </w:rPr>
      </w:pPr>
      <w:r w:rsidDel="00000000" w:rsidR="00000000" w:rsidRPr="00000000">
        <w:rPr>
          <w:b w:val="1"/>
          <w:bCs w:val="1"/>
          <w:color w:val="1e3a5f"/>
          <w:sz w:val="24"/>
          <w:szCs w:val="24"/>
          <w:rtl w:val="0"/>
        </w:rPr>
        <w:t xml:space="preserve">Phase 2: Requirement Definition &amp; Planning (Jan 2025)</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Held on-site kickoff in Frankfurt to refine integration plans</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Defined core system transitions, leadership onboarding, and process alignments</w:t>
      </w:r>
    </w:p>
    <w:p w:rsidR="00000000" w:rsidDel="00000000" w:rsidP="00000000" w:rsidRDefault="00000000" w:rsidRPr="00000000" w14:paraId="00000041">
      <w:pPr>
        <w:spacing w:after="100" w:before="150" w:lineRule="auto"/>
        <w:rPr>
          <w:b w:val="1"/>
          <w:bCs w:val="1"/>
          <w:color w:val="1e3a5f"/>
          <w:sz w:val="24"/>
          <w:szCs w:val="24"/>
        </w:rPr>
      </w:pPr>
      <w:r w:rsidDel="00000000" w:rsidR="00000000" w:rsidRPr="00000000">
        <w:rPr>
          <w:b w:val="1"/>
          <w:bCs w:val="1"/>
          <w:color w:val="1e3a5f"/>
          <w:sz w:val="24"/>
          <w:szCs w:val="24"/>
          <w:rtl w:val="0"/>
        </w:rPr>
        <w:t xml:space="preserve">Phase 3: Design, Development, Configuration, Testing (Feb – Aug 2025)</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Migrated critical business functions to NetSuite and core IT solutions</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Trained employees and leaders on new systems and workflows</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Established compliance-driven employee contracts, including bonus participation</w:t>
      </w:r>
    </w:p>
    <w:p w:rsidR="00000000" w:rsidDel="00000000" w:rsidP="00000000" w:rsidRDefault="00000000" w:rsidRPr="00000000" w14:paraId="00000045">
      <w:pPr>
        <w:spacing w:after="100" w:before="150" w:lineRule="auto"/>
        <w:rPr>
          <w:b w:val="1"/>
          <w:bCs w:val="1"/>
          <w:color w:val="1e3a5f"/>
          <w:sz w:val="24"/>
          <w:szCs w:val="24"/>
        </w:rPr>
      </w:pPr>
      <w:r w:rsidDel="00000000" w:rsidR="00000000" w:rsidRPr="00000000">
        <w:rPr>
          <w:b w:val="1"/>
          <w:bCs w:val="1"/>
          <w:color w:val="1e3a5f"/>
          <w:sz w:val="24"/>
          <w:szCs w:val="24"/>
          <w:rtl w:val="0"/>
        </w:rPr>
        <w:t xml:space="preserve">Phase 4: Cutover (First week of August 2025)</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Executed seamless transition with controlled system go-live</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Ensured minimal impact on ongoing operations</w:t>
      </w:r>
    </w:p>
    <w:p w:rsidR="00000000" w:rsidDel="00000000" w:rsidP="00000000" w:rsidRDefault="00000000" w:rsidRPr="00000000" w14:paraId="00000048">
      <w:pPr>
        <w:spacing w:after="100" w:before="150" w:lineRule="auto"/>
        <w:rPr>
          <w:b w:val="1"/>
          <w:bCs w:val="1"/>
          <w:color w:val="1e3a5f"/>
          <w:sz w:val="24"/>
          <w:szCs w:val="24"/>
        </w:rPr>
      </w:pPr>
      <w:r w:rsidDel="00000000" w:rsidR="00000000" w:rsidRPr="00000000">
        <w:rPr>
          <w:b w:val="1"/>
          <w:bCs w:val="1"/>
          <w:color w:val="1e3a5f"/>
          <w:sz w:val="24"/>
          <w:szCs w:val="24"/>
          <w:rtl w:val="0"/>
        </w:rPr>
        <w:t xml:space="preserve">Phase 5: Sustainment &amp; Hypercare (Aug – Sept 2025)</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Provided post-transition stabilization and real-time issue resolution</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Conducted retrospectives to capture lessons learned for future integrations</w:t>
      </w:r>
    </w:p>
    <w:p w:rsidR="00000000" w:rsidDel="00000000" w:rsidP="00000000" w:rsidRDefault="00000000" w:rsidRPr="00000000" w14:paraId="0000004B">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Results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left"/>
        <w:rPr>
          <w:rFonts w:ascii="Arial" w:cs="Arial" w:eastAsia="Arial" w:hAnsi="Arial"/>
          <w:b w:val="1"/>
          <w:bCs w:val="1"/>
          <w:i w:val="1"/>
          <w:iCs w:val="1"/>
          <w:smallCaps w:val="0"/>
          <w:strike w:val="0"/>
          <w:color w:val="c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c00000"/>
          <w:sz w:val="24"/>
          <w:szCs w:val="24"/>
          <w:u w:val="none"/>
          <w:shd w:fill="auto" w:val="clear"/>
          <w:vertAlign w:val="baseline"/>
          <w:rtl w:val="0"/>
        </w:rPr>
        <w:t xml:space="preserve">A Streamlined, High-Performing Business Unit</w:t>
      </w:r>
    </w:p>
    <w:tbl>
      <w:tblPr>
        <w:tblStyle w:val="Table4"/>
        <w:tblW w:w="108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28"/>
        <w:gridCol w:w="3628"/>
        <w:gridCol w:w="3628"/>
        <w:tblGridChange w:id="0">
          <w:tblGrid>
            <w:gridCol w:w="3628"/>
            <w:gridCol w:w="3628"/>
            <w:gridCol w:w="3628"/>
          </w:tblGrid>
        </w:tblGridChange>
      </w:tblGrid>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~7 Months</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Discovery to Integration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738</w:t>
            </w:r>
          </w:p>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Test Cases Executed</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186</w:t>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UAT Cases Completed</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111</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Training Modules (Bilingual)</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154</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Process Checklists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71%</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Positive eNPS Feedback</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30</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Shipments on Day 2</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100%</w:t>
            </w:r>
          </w:p>
          <w:p w:rsidR="00000000" w:rsidDel="00000000" w:rsidP="00000000" w:rsidRDefault="00000000" w:rsidRPr="00000000" w14:paraId="0000005C">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PO Backlog Cleared</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150.0" w:type="dxa"/>
              <w:left w:w="100.0" w:type="dxa"/>
              <w:bottom w:w="150.0" w:type="dxa"/>
              <w:right w:w="100.0" w:type="dxa"/>
            </w:tcMa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50" w:lineRule="auto"/>
              <w:jc w:val="center"/>
              <w:rPr>
                <w:b w:val="1"/>
                <w:bCs w:val="1"/>
                <w:color w:val="002060"/>
                <w:sz w:val="36"/>
                <w:szCs w:val="36"/>
              </w:rPr>
            </w:pPr>
            <w:r w:rsidDel="00000000" w:rsidR="00000000" w:rsidRPr="00000000">
              <w:rPr>
                <w:b w:val="1"/>
                <w:bCs w:val="1"/>
                <w:color w:val="002060"/>
                <w:sz w:val="36"/>
                <w:szCs w:val="36"/>
                <w:rtl w:val="0"/>
              </w:rPr>
              <w:t xml:space="preserve">Bilingual</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color w:val="000000"/>
              </w:rPr>
            </w:pPr>
            <w:r w:rsidDel="00000000" w:rsidR="00000000" w:rsidRPr="00000000">
              <w:rPr>
                <w:color w:val="333333"/>
                <w:sz w:val="20"/>
                <w:szCs w:val="20"/>
                <w:rtl w:val="0"/>
              </w:rPr>
              <w:t xml:space="preserve">All Communications</w:t>
            </w:r>
            <w:r w:rsidDel="00000000" w:rsidR="00000000" w:rsidRPr="00000000">
              <w:rPr>
                <w:rtl w:val="0"/>
              </w:rPr>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Key Outcomes</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Successful ERP Integration: NetSuite implementation enabled smooth transition for accounting, operations, and customer support</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Operational Continuity: Business functions remained uninterrupted and optimized, ensuring customer and employee satisfaction</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Enhanced Leadership &amp; Training: Leaders equipped with structured training, improving performance management and goal alignment</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Optimized Governance &amp; IMO Maturity: Strengthened integration management through structured playbooks and change management strategies</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Increased Employee Engagement: Survey results indicated favorable responses with 71% positive feedback</w:t>
      </w:r>
    </w:p>
    <w:p w:rsidR="00000000" w:rsidDel="00000000" w:rsidP="00000000" w:rsidRDefault="00000000" w:rsidRPr="00000000" w14:paraId="00000066">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Lessons Learned &amp; Future Enhancements</w:t>
      </w:r>
    </w:p>
    <w:p w:rsidR="00000000" w:rsidDel="00000000" w:rsidP="00000000" w:rsidRDefault="00000000" w:rsidRPr="00000000" w14:paraId="00000067">
      <w:pPr>
        <w:rPr/>
      </w:pPr>
      <w:r w:rsidDel="00000000" w:rsidR="00000000" w:rsidRPr="00000000">
        <w:rPr>
          <w:rtl w:val="0"/>
        </w:rPr>
        <w:t xml:space="preserve">Retrospectives were conducted to improve future integrations, focusing on:</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Testing &amp; Training Enhancements: Strengthening ERP role assignment and continuously refining training methodologies</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Stakeholder Engagement: Introducing NetSuite demos earlier for improved application during training and testing</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Continuous Improvement: Enhancing process mapping, standardizing workstream plans, and improving role rationalization</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Refined Change Management: Implementing structured change management strategies vs. strictly communication schedules</w:t>
      </w:r>
    </w:p>
    <w:p w:rsidR="00000000" w:rsidDel="00000000" w:rsidP="00000000" w:rsidRDefault="00000000" w:rsidRPr="00000000" w14:paraId="0000006C">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About Fueled Consulting Group</w:t>
      </w:r>
    </w:p>
    <w:tbl>
      <w:tblPr>
        <w:tblStyle w:val="Table5"/>
        <w:tblW w:w="10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90"/>
        <w:tblGridChange w:id="0">
          <w:tblGrid>
            <w:gridCol w:w="108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2060" w:val="clear"/>
            <w:tcMar>
              <w:top w:w="200.0" w:type="dxa"/>
              <w:left w:w="300.0" w:type="dxa"/>
              <w:bottom w:w="200.0" w:type="dxa"/>
              <w:right w:w="300.0" w:type="dxa"/>
            </w:tcMar>
          </w:tcPr>
          <w:p w:rsidR="00000000" w:rsidDel="00000000" w:rsidP="00000000" w:rsidRDefault="00000000" w:rsidRPr="00000000" w14:paraId="0000006D">
            <w:pPr>
              <w:spacing w:after="150" w:lineRule="auto"/>
              <w:jc w:val="center"/>
              <w:rPr>
                <w:color w:val="ffffff"/>
              </w:rPr>
            </w:pPr>
            <w:r w:rsidDel="00000000" w:rsidR="00000000" w:rsidRPr="00000000">
              <w:rPr>
                <w:b w:val="1"/>
                <w:bCs w:val="1"/>
                <w:color w:val="ffffff"/>
                <w:sz w:val="28"/>
                <w:szCs w:val="28"/>
                <w:rtl w:val="0"/>
              </w:rPr>
              <w:t xml:space="preserve">YOUR VISION, OUR EXECUTION</w:t>
            </w:r>
            <w:r w:rsidDel="00000000" w:rsidR="00000000" w:rsidRPr="00000000">
              <w:rPr>
                <w:rtl w:val="0"/>
              </w:rPr>
            </w:r>
          </w:p>
          <w:p w:rsidR="00000000" w:rsidDel="00000000" w:rsidP="00000000" w:rsidRDefault="00000000" w:rsidRPr="00000000" w14:paraId="0000006E">
            <w:pPr>
              <w:spacing w:after="150" w:lineRule="auto"/>
              <w:jc w:val="center"/>
              <w:rPr>
                <w:color w:val="ffffff"/>
              </w:rPr>
            </w:pPr>
            <w:r w:rsidDel="00000000" w:rsidR="00000000" w:rsidRPr="00000000">
              <w:rPr>
                <w:color w:val="ffffff"/>
                <w:rtl w:val="0"/>
              </w:rPr>
              <w:t xml:space="preserve">Fueled Consulting delivers practical business strategy solutions that drive economic value. We specialize in project, process, and technology implementations, ensuring skill transfer and long-term sustainability. We go beyond project management to address inefficiencies, tailoring our approach to help clients achieve their unique business goals.</w:t>
            </w:r>
          </w:p>
          <w:p w:rsidR="00000000" w:rsidDel="00000000" w:rsidP="00000000" w:rsidRDefault="00000000" w:rsidRPr="00000000" w14:paraId="0000006F">
            <w:pPr>
              <w:spacing w:after="100" w:lineRule="auto"/>
              <w:jc w:val="center"/>
              <w:rPr>
                <w:color w:val="ffffff"/>
              </w:rPr>
            </w:pPr>
            <w:r w:rsidDel="00000000" w:rsidR="00000000" w:rsidRPr="00000000">
              <w:rPr>
                <w:b w:val="1"/>
                <w:bCs w:val="1"/>
                <w:color w:val="ffffff"/>
                <w:rtl w:val="0"/>
              </w:rPr>
              <w:t xml:space="preserve">Our Services:</w:t>
            </w:r>
            <w:r w:rsidDel="00000000" w:rsidR="00000000" w:rsidRPr="00000000">
              <w:rPr>
                <w:rtl w:val="0"/>
              </w:rPr>
            </w:r>
          </w:p>
          <w:p w:rsidR="00000000" w:rsidDel="00000000" w:rsidP="00000000" w:rsidRDefault="00000000" w:rsidRPr="00000000" w14:paraId="00000070">
            <w:pPr>
              <w:jc w:val="center"/>
              <w:rPr>
                <w:color w:val="ffffff"/>
              </w:rPr>
            </w:pPr>
            <w:r w:rsidDel="00000000" w:rsidR="00000000" w:rsidRPr="00000000">
              <w:rPr>
                <w:color w:val="ffffff"/>
                <w:sz w:val="20"/>
                <w:szCs w:val="20"/>
                <w:rtl w:val="0"/>
              </w:rPr>
              <w:t xml:space="preserve">Portfolio, Program &amp; Project Management  •  Business Analysis &amp; Process Engineering  •  Risk &amp; Compliance Management  •  Business Transformation &amp; Optimization</w:t>
            </w:r>
            <w:r w:rsidDel="00000000" w:rsidR="00000000" w:rsidRPr="00000000">
              <w:rPr>
                <w:rtl w:val="0"/>
              </w:rPr>
            </w:r>
          </w:p>
        </w:tc>
      </w:tr>
    </w:tbl>
    <w:p w:rsidR="00000000" w:rsidDel="00000000" w:rsidP="00000000" w:rsidRDefault="00000000" w:rsidRPr="00000000" w14:paraId="00000071">
      <w:pPr>
        <w:pStyle w:val="Heading2"/>
        <w:ind w:left="0" w:firstLine="0"/>
        <w:rPr/>
      </w:pPr>
      <w:r w:rsidDel="00000000" w:rsidR="00000000" w:rsidRPr="00000000">
        <w:rPr>
          <w:rtl w:val="0"/>
        </w:rPr>
      </w:r>
    </w:p>
    <w:p w:rsidR="00000000" w:rsidDel="00000000" w:rsidP="00000000" w:rsidRDefault="00000000" w:rsidRPr="00000000" w14:paraId="00000072">
      <w:pPr>
        <w:spacing w:after="150" w:line="240" w:lineRule="auto"/>
        <w:rPr/>
      </w:pPr>
      <w:r w:rsidDel="00000000" w:rsidR="00000000" w:rsidRPr="00000000">
        <w:rPr>
          <w:rtl w:val="0"/>
        </w:rPr>
        <w:t xml:space="preserve">Ready to discuss how Fueled Consulting can rescue and transform your initiatives?</w:t>
      </w:r>
    </w:p>
    <w:p w:rsidR="00000000" w:rsidDel="00000000" w:rsidP="00000000" w:rsidRDefault="00000000" w:rsidRPr="00000000" w14:paraId="00000073">
      <w:pPr>
        <w:spacing w:after="80" w:line="240" w:lineRule="auto"/>
        <w:rPr/>
      </w:pPr>
      <w:r w:rsidDel="00000000" w:rsidR="00000000" w:rsidRPr="00000000">
        <w:rPr>
          <w:b w:val="1"/>
          <w:bCs w:val="1"/>
          <w:rtl w:val="0"/>
        </w:rPr>
        <w:t xml:space="preserve">Website: </w:t>
      </w:r>
      <w:r w:rsidDel="00000000" w:rsidR="00000000" w:rsidRPr="00000000">
        <w:rPr>
          <w:color w:val="2b5797"/>
          <w:rtl w:val="0"/>
        </w:rPr>
        <w:t xml:space="preserve">www.fueledconsulting.com</w:t>
      </w:r>
      <w:r w:rsidDel="00000000" w:rsidR="00000000" w:rsidRPr="00000000">
        <w:rPr>
          <w:rtl w:val="0"/>
        </w:rPr>
      </w:r>
    </w:p>
    <w:p w:rsidR="00000000" w:rsidDel="00000000" w:rsidP="00000000" w:rsidRDefault="00000000" w:rsidRPr="00000000" w14:paraId="00000074">
      <w:pPr>
        <w:spacing w:after="200" w:line="240" w:lineRule="auto"/>
        <w:rPr/>
      </w:pPr>
      <w:r w:rsidDel="00000000" w:rsidR="00000000" w:rsidRPr="00000000">
        <w:rPr>
          <w:b w:val="1"/>
          <w:bCs w:val="1"/>
          <w:rtl w:val="0"/>
        </w:rPr>
        <w:t xml:space="preserve">Email: </w:t>
      </w:r>
      <w:r w:rsidDel="00000000" w:rsidR="00000000" w:rsidRPr="00000000">
        <w:rPr>
          <w:color w:val="2b5797"/>
          <w:rtl w:val="0"/>
        </w:rPr>
        <w:t xml:space="preserve">info@fueledconsulting.com</w:t>
      </w:r>
      <w:r w:rsidDel="00000000" w:rsidR="00000000" w:rsidRPr="00000000">
        <w:rPr>
          <w:rtl w:val="0"/>
        </w:rPr>
      </w:r>
    </w:p>
    <w:tbl>
      <w:tblPr>
        <w:tblStyle w:val="Table6"/>
        <w:tblW w:w="10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90"/>
        <w:tblGridChange w:id="0">
          <w:tblGrid>
            <w:gridCol w:w="10890"/>
          </w:tblGrid>
        </w:tblGridChange>
      </w:tblGrid>
      <w:tr>
        <w:trPr>
          <w:cantSplit w:val="0"/>
          <w:tblHeader w:val="0"/>
        </w:trPr>
        <w:tc>
          <w:tcPr>
            <w:tcBorders>
              <w:top w:color="e0e0e0" w:space="0" w:sz="4" w:val="single"/>
              <w:left w:color="000000" w:space="0" w:sz="0" w:val="nil"/>
              <w:bottom w:color="000000" w:space="0" w:sz="0" w:val="nil"/>
              <w:right w:color="000000" w:space="0" w:sz="0" w:val="nil"/>
            </w:tcBorders>
            <w:tcMar>
              <w:top w:w="200.0" w:type="dxa"/>
              <w:left w:w="0.0" w:type="dxa"/>
              <w:bottom w:w="100.0" w:type="dxa"/>
              <w:right w:w="0.0" w:type="dxa"/>
            </w:tcMar>
          </w:tcPr>
          <w:p w:rsidR="00000000" w:rsidDel="00000000" w:rsidP="00000000" w:rsidRDefault="00000000" w:rsidRPr="00000000" w14:paraId="00000075">
            <w:pPr>
              <w:spacing w:after="80" w:lineRule="auto"/>
              <w:rPr/>
            </w:pPr>
            <w:r w:rsidDel="00000000" w:rsidR="00000000" w:rsidRPr="00000000">
              <w:rPr>
                <w:b w:val="1"/>
                <w:bCs w:val="1"/>
                <w:color w:val="333333"/>
                <w:sz w:val="20"/>
                <w:szCs w:val="20"/>
                <w:rtl w:val="0"/>
              </w:rPr>
              <w:t xml:space="preserve">Acknowledgment</w:t>
            </w:r>
            <w:r w:rsidDel="00000000" w:rsidR="00000000" w:rsidRPr="00000000">
              <w:rPr>
                <w:rtl w:val="0"/>
              </w:rPr>
            </w:r>
          </w:p>
          <w:p w:rsidR="00000000" w:rsidDel="00000000" w:rsidP="00000000" w:rsidRDefault="00000000" w:rsidRPr="00000000" w14:paraId="00000076">
            <w:pPr>
              <w:jc w:val="both"/>
              <w:rPr/>
            </w:pPr>
            <w:r w:rsidDel="00000000" w:rsidR="00000000" w:rsidRPr="00000000">
              <w:rPr>
                <w:i w:val="1"/>
                <w:iCs w:val="1"/>
                <w:color w:val="333333"/>
                <w:sz w:val="18"/>
                <w:szCs w:val="18"/>
                <w:rtl w:val="0"/>
              </w:rPr>
              <w:t xml:space="preserve">This case study documents work performed in partnership with 5280 PMO, who served as the prime contractor with direct client engagement. Fueled Consulting Group provided specialized program management resources to support the successful rescue and delivery of this high-impact analytics initiative.</w:t>
            </w:r>
            <w:r w:rsidDel="00000000" w:rsidR="00000000" w:rsidRPr="00000000">
              <w:rPr>
                <w:rtl w:val="0"/>
              </w:rPr>
            </w:r>
          </w:p>
        </w:tc>
      </w:tr>
    </w:tbl>
    <w:p w:rsidR="00000000" w:rsidDel="00000000" w:rsidP="00000000" w:rsidRDefault="00000000" w:rsidRPr="00000000" w14:paraId="00000077">
      <w:pPr>
        <w:tabs>
          <w:tab w:val="left" w:leader="none" w:pos="6564"/>
        </w:tabs>
        <w:rPr/>
        <w:sectPr>
          <w:headerReference r:id="rId7" w:type="default"/>
          <w:headerReference r:id="rId8" w:type="first"/>
          <w:footerReference r:id="rId9" w:type="default"/>
          <w:pgSz w:h="15840" w:w="12240" w:orient="portrait"/>
          <w:pgMar w:bottom="1170" w:top="1260" w:left="630" w:right="720" w:header="576" w:footer="1857"/>
          <w:pgNumType w:start="1"/>
          <w:titlePg w:val="1"/>
        </w:sectPr>
      </w:pPr>
      <w:r w:rsidDel="00000000" w:rsidR="00000000" w:rsidRPr="00000000">
        <w:rPr>
          <w:rtl w:val="0"/>
        </w:rPr>
      </w:r>
    </w:p>
    <w:p w:rsidR="00000000" w:rsidDel="00000000" w:rsidP="00000000" w:rsidRDefault="00000000" w:rsidRPr="00000000" w14:paraId="00000078">
      <w:pPr>
        <w:tabs>
          <w:tab w:val="left" w:leader="none" w:pos="5148"/>
        </w:tabs>
        <w:rPr/>
      </w:pPr>
      <w:bookmarkStart w:colFirst="0" w:colLast="0" w:name="_heading=h.9ha1pofn0l9b" w:id="0"/>
      <w:bookmarkEnd w:id="0"/>
      <w:r w:rsidDel="00000000" w:rsidR="00000000" w:rsidRPr="00000000">
        <w:rPr>
          <w:rtl w:val="0"/>
        </w:rPr>
      </w:r>
    </w:p>
    <w:sectPr>
      <w:type w:val="nextPage"/>
      <w:pgSz w:h="15840" w:w="12240" w:orient="portrait"/>
      <w:pgMar w:bottom="1440" w:top="1440" w:left="1440" w:right="1440" w:header="576" w:footer="18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color="d9d9d9" w:space="0" w:sz="4" w:val="single"/>
        <w:left w:space="0" w:sz="0" w:val="nil"/>
        <w:bottom w:space="0" w:sz="0" w:val="nil"/>
        <w:right w:space="0" w:sz="0" w:val="nil"/>
        <w:between w:space="0" w:sz="0" w:val="nil"/>
      </w:pBdr>
      <w:tabs>
        <w:tab w:val="center" w:leader="none" w:pos="4680"/>
        <w:tab w:val="right" w:leader="none" w:pos="9360"/>
      </w:tabs>
      <w:jc w:val="right"/>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b w:val="1"/>
        <w:bCs w:val="1"/>
        <w:color w:val="000000"/>
        <w:rtl w:val="0"/>
      </w:rPr>
      <w:t xml:space="preserve"> | </w:t>
    </w:r>
    <w:r w:rsidDel="00000000" w:rsidR="00000000" w:rsidRPr="00000000">
      <w:rPr>
        <w:color w:val="7f7f7f"/>
        <w:rtl w:val="0"/>
      </w:rPr>
      <w:t xml:space="preserve">Page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5998845</wp:posOffset>
          </wp:positionH>
          <wp:positionV relativeFrom="paragraph">
            <wp:posOffset>142875</wp:posOffset>
          </wp:positionV>
          <wp:extent cx="719138" cy="719138"/>
          <wp:effectExtent b="0" l="0" r="0" t="0"/>
          <wp:wrapNone/>
          <wp:docPr id="58480675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138" cy="719138"/>
                  </a:xfrm>
                  <a:prstGeom prst="rect"/>
                  <a:ln/>
                </pic:spPr>
              </pic:pic>
            </a:graphicData>
          </a:graphic>
        </wp:anchor>
      </w:drawing>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spacing w:line="199" w:lineRule="auto"/>
      <w:jc w:val="center"/>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-612774</wp:posOffset>
          </wp:positionH>
          <wp:positionV relativeFrom="paragraph">
            <wp:posOffset>-98424</wp:posOffset>
          </wp:positionV>
          <wp:extent cx="3092236" cy="432913"/>
          <wp:effectExtent b="0" l="0" r="0" t="0"/>
          <wp:wrapNone/>
          <wp:docPr id="58480675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92236" cy="432913"/>
                  </a:xfrm>
                  <a:prstGeom prst="rect"/>
                  <a:ln/>
                </pic:spPr>
              </pic:pic>
            </a:graphicData>
          </a:graphic>
        </wp:anchor>
      </w:drawing>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14.399999999999999" w:lineRule="auto"/>
      <w:jc w:val="right"/>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spacing w:line="199"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220979</wp:posOffset>
          </wp:positionH>
          <wp:positionV relativeFrom="paragraph">
            <wp:posOffset>-259078</wp:posOffset>
          </wp:positionV>
          <wp:extent cx="1400654" cy="947263"/>
          <wp:effectExtent b="0" l="0" r="0" t="0"/>
          <wp:wrapSquare wrapText="bothSides" distB="0" distT="0" distL="114300" distR="114300"/>
          <wp:docPr id="58480674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00654" cy="947263"/>
                  </a:xfrm>
                  <a:prstGeom prst="rect"/>
                  <a:ln/>
                </pic:spPr>
              </pic:pic>
            </a:graphicData>
          </a:graphic>
        </wp:anchor>
      </w:drawing>
    </w:r>
  </w:p>
  <w:p w:rsidR="00000000" w:rsidDel="00000000" w:rsidP="00000000" w:rsidRDefault="00000000" w:rsidRPr="00000000" w14:paraId="0000007C">
    <w:pPr>
      <w:spacing w:line="199" w:lineRule="auto"/>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40" w:hanging="432"/>
    </w:pPr>
    <w:rPr>
      <w:b w:val="1"/>
      <w:bCs w:val="1"/>
      <w:sz w:val="28"/>
      <w:szCs w:val="28"/>
    </w:rPr>
  </w:style>
  <w:style w:type="paragraph" w:styleId="Heading2">
    <w:name w:val="heading 2"/>
    <w:basedOn w:val="Normal"/>
    <w:next w:val="Normal"/>
    <w:pPr>
      <w:spacing w:before="47" w:lineRule="auto"/>
      <w:ind w:left="684" w:hanging="576"/>
    </w:pPr>
    <w:rPr>
      <w:b w:val="1"/>
      <w:bCs w:val="1"/>
      <w:color w:val="ffffff"/>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TOC1">
    <w:name w:val="toc 1"/>
    <w:basedOn w:val="Normal"/>
    <w:uiPriority w:val="39"/>
    <w:qFormat w:val="1"/>
    <w:pPr>
      <w:spacing w:before="139"/>
      <w:ind w:left="547" w:hanging="439"/>
    </w:pPr>
  </w:style>
  <w:style w:type="paragraph" w:styleId="TOC2">
    <w:name w:val="toc 2"/>
    <w:basedOn w:val="Normal"/>
    <w:uiPriority w:val="39"/>
    <w:qFormat w:val="1"/>
    <w:pPr>
      <w:spacing w:before="136"/>
      <w:ind w:left="989" w:hanging="660"/>
    </w:pPr>
    <w:rPr>
      <w:rFonts w:ascii="Times New Roman" w:cs="Times New Roman" w:eastAsia="Times New Roman" w:hAnsi="Times New Roman"/>
    </w:rPr>
  </w:style>
  <w:style w:type="paragraph" w:styleId="BodyText">
    <w:name w:val="Body Text"/>
    <w:basedOn w:val="Normal"/>
    <w:uiPriority w:val="1"/>
    <w:qFormat w:val="1"/>
  </w:style>
  <w:style w:type="paragraph" w:styleId="ListParagraph">
    <w:name w:val="List Paragraph"/>
    <w:basedOn w:val="Normal"/>
    <w:qFormat w:val="1"/>
    <w:pPr>
      <w:ind w:left="828" w:hanging="360"/>
    </w:pPr>
  </w:style>
  <w:style w:type="paragraph" w:styleId="TableParagraph" w:customStyle="1">
    <w:name w:val="Table Paragraph"/>
    <w:basedOn w:val="Normal"/>
    <w:uiPriority w:val="1"/>
    <w:qFormat w:val="1"/>
    <w:pPr>
      <w:ind w:left="103"/>
    </w:pPr>
  </w:style>
  <w:style w:type="character" w:styleId="CommentReference">
    <w:name w:val="annotation reference"/>
    <w:basedOn w:val="DefaultParagraphFont"/>
    <w:uiPriority w:val="99"/>
    <w:semiHidden w:val="1"/>
    <w:unhideWhenUsed w:val="1"/>
    <w:rsid w:val="00286CF4"/>
    <w:rPr>
      <w:sz w:val="16"/>
      <w:szCs w:val="16"/>
    </w:rPr>
  </w:style>
  <w:style w:type="paragraph" w:styleId="CommentText">
    <w:name w:val="annotation text"/>
    <w:basedOn w:val="Normal"/>
    <w:link w:val="CommentTextChar"/>
    <w:uiPriority w:val="99"/>
    <w:unhideWhenUsed w:val="1"/>
    <w:rsid w:val="00286CF4"/>
    <w:rPr>
      <w:sz w:val="20"/>
      <w:szCs w:val="20"/>
    </w:rPr>
  </w:style>
  <w:style w:type="character" w:styleId="CommentTextChar" w:customStyle="1">
    <w:name w:val="Comment Text Char"/>
    <w:basedOn w:val="DefaultParagraphFont"/>
    <w:link w:val="CommentText"/>
    <w:uiPriority w:val="99"/>
    <w:rsid w:val="00286CF4"/>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286CF4"/>
    <w:rPr>
      <w:b w:val="1"/>
      <w:bCs w:val="1"/>
    </w:rPr>
  </w:style>
  <w:style w:type="character" w:styleId="CommentSubjectChar" w:customStyle="1">
    <w:name w:val="Comment Subject Char"/>
    <w:basedOn w:val="CommentTextChar"/>
    <w:link w:val="CommentSubject"/>
    <w:uiPriority w:val="99"/>
    <w:semiHidden w:val="1"/>
    <w:rsid w:val="00286CF4"/>
    <w:rPr>
      <w:rFonts w:ascii="Calibri" w:cs="Calibri" w:eastAsia="Calibri" w:hAnsi="Calibri"/>
      <w:b w:val="1"/>
      <w:bCs w:val="1"/>
      <w:sz w:val="20"/>
      <w:szCs w:val="20"/>
    </w:rPr>
  </w:style>
  <w:style w:type="paragraph" w:styleId="BalloonText">
    <w:name w:val="Balloon Text"/>
    <w:basedOn w:val="Normal"/>
    <w:link w:val="BalloonTextChar"/>
    <w:uiPriority w:val="99"/>
    <w:semiHidden w:val="1"/>
    <w:unhideWhenUsed w:val="1"/>
    <w:rsid w:val="00286C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86CF4"/>
    <w:rPr>
      <w:rFonts w:ascii="Segoe UI" w:cs="Segoe UI" w:eastAsia="Calibri" w:hAnsi="Segoe UI"/>
      <w:sz w:val="18"/>
      <w:szCs w:val="18"/>
    </w:rPr>
  </w:style>
  <w:style w:type="character" w:styleId="Hyperlink">
    <w:name w:val="Hyperlink"/>
    <w:basedOn w:val="DefaultParagraphFont"/>
    <w:uiPriority w:val="99"/>
    <w:unhideWhenUsed w:val="1"/>
    <w:rsid w:val="000F604C"/>
    <w:rPr>
      <w:color w:val="0000ff" w:themeColor="hyperlink"/>
      <w:u w:val="single"/>
    </w:rPr>
  </w:style>
  <w:style w:type="paragraph" w:styleId="Header">
    <w:name w:val="header"/>
    <w:basedOn w:val="Normal"/>
    <w:link w:val="HeaderChar"/>
    <w:uiPriority w:val="99"/>
    <w:unhideWhenUsed w:val="1"/>
    <w:rsid w:val="00380E90"/>
    <w:pPr>
      <w:tabs>
        <w:tab w:val="center" w:pos="4680"/>
        <w:tab w:val="right" w:pos="9360"/>
      </w:tabs>
    </w:pPr>
  </w:style>
  <w:style w:type="character" w:styleId="HeaderChar" w:customStyle="1">
    <w:name w:val="Header Char"/>
    <w:basedOn w:val="DefaultParagraphFont"/>
    <w:link w:val="Header"/>
    <w:uiPriority w:val="99"/>
    <w:rsid w:val="00380E90"/>
    <w:rPr>
      <w:rFonts w:ascii="Calibri" w:cs="Calibri" w:eastAsia="Calibri" w:hAnsi="Calibri"/>
    </w:rPr>
  </w:style>
  <w:style w:type="paragraph" w:styleId="Footer">
    <w:name w:val="footer"/>
    <w:basedOn w:val="Normal"/>
    <w:link w:val="FooterChar"/>
    <w:uiPriority w:val="99"/>
    <w:unhideWhenUsed w:val="1"/>
    <w:rsid w:val="00380E90"/>
    <w:pPr>
      <w:tabs>
        <w:tab w:val="center" w:pos="4680"/>
        <w:tab w:val="right" w:pos="9360"/>
      </w:tabs>
    </w:pPr>
  </w:style>
  <w:style w:type="character" w:styleId="FooterChar" w:customStyle="1">
    <w:name w:val="Footer Char"/>
    <w:basedOn w:val="DefaultParagraphFont"/>
    <w:link w:val="Footer"/>
    <w:uiPriority w:val="99"/>
    <w:rsid w:val="00380E90"/>
    <w:rPr>
      <w:rFonts w:ascii="Calibri" w:cs="Calibri" w:eastAsia="Calibri" w:hAnsi="Calibri"/>
    </w:rPr>
  </w:style>
  <w:style w:type="paragraph" w:styleId="Default" w:customStyle="1">
    <w:name w:val="Default"/>
    <w:basedOn w:val="Normal"/>
    <w:rsid w:val="002C30E2"/>
    <w:rPr>
      <w:rFonts w:ascii="Verdana" w:cs="Times New Roman" w:hAnsi="Verdana" w:eastAsiaTheme="minorHAnsi"/>
      <w:color w:val="000000"/>
      <w:sz w:val="24"/>
      <w:szCs w:val="24"/>
    </w:rPr>
  </w:style>
  <w:style w:type="character" w:styleId="UnresolvedMention">
    <w:name w:val="Unresolved Mention"/>
    <w:basedOn w:val="DefaultParagraphFont"/>
    <w:uiPriority w:val="99"/>
    <w:semiHidden w:val="1"/>
    <w:unhideWhenUsed w:val="1"/>
    <w:rsid w:val="0083651B"/>
    <w:rPr>
      <w:color w:val="808080"/>
      <w:shd w:color="auto" w:fill="e6e6e6" w:val="clear"/>
    </w:r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top w:w="100.0" w:type="dxa"/>
        <w:left w:w="100.0" w:type="dxa"/>
        <w:bottom w:w="100.0" w:type="dxa"/>
        <w:right w:w="100.0" w:type="dxa"/>
      </w:tblCellMar>
    </w:tblPr>
  </w:style>
  <w:style w:type="table" w:styleId="2" w:customStyle="1">
    <w:name w:val="2"/>
    <w:basedOn w:val="TableNormal"/>
    <w:tblPr>
      <w:tblStyleRowBandSize w:val="1"/>
      <w:tblStyleColBandSize w:val="1"/>
      <w:tblCellMar>
        <w:left w:w="0.0" w:type="dxa"/>
        <w:right w:w="0.0" w:type="dxa"/>
      </w:tblCellMar>
    </w:tblPr>
  </w:style>
  <w:style w:type="table" w:styleId="1" w:customStyle="1">
    <w:name w:val="1"/>
    <w:basedOn w:val="TableNormal"/>
    <w:tblPr>
      <w:tblStyleRowBandSize w:val="1"/>
      <w:tblStyleColBandSize w:val="1"/>
      <w:tblCellMar>
        <w:left w:w="115.0" w:type="dxa"/>
        <w:right w:w="115.0" w:type="dxa"/>
      </w:tblCellMar>
    </w:tblPr>
  </w:style>
  <w:style w:type="table" w:styleId="TableGrid">
    <w:name w:val="Table Grid"/>
    <w:basedOn w:val="TableNormal"/>
    <w:uiPriority w:val="39"/>
    <w:rsid w:val="001F5C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6" w:customStyle="1">
    <w:name w:val="26"/>
    <w:basedOn w:val="TableNormal"/>
    <w:tblPr>
      <w:tblStyleRowBandSize w:val="1"/>
      <w:tblStyleColBandSize w:val="1"/>
      <w:tblCellMar>
        <w:top w:w="100.0" w:type="dxa"/>
        <w:left w:w="115.0" w:type="dxa"/>
        <w:bottom w:w="100.0" w:type="dxa"/>
        <w:right w:w="115.0" w:type="dxa"/>
      </w:tblCellMar>
    </w:tblPr>
  </w:style>
  <w:style w:type="table" w:styleId="25" w:customStyle="1">
    <w:name w:val="25"/>
    <w:basedOn w:val="TableNormal"/>
    <w:tblPr>
      <w:tblStyleRowBandSize w:val="1"/>
      <w:tblStyleColBandSize w:val="1"/>
      <w:tblCellMar>
        <w:top w:w="100.0" w:type="dxa"/>
        <w:left w:w="115.0" w:type="dxa"/>
        <w:bottom w:w="100.0" w:type="dxa"/>
        <w:right w:w="115.0" w:type="dxa"/>
      </w:tblCellMar>
    </w:tblPr>
  </w:style>
  <w:style w:type="table" w:styleId="24" w:customStyle="1">
    <w:name w:val="24"/>
    <w:basedOn w:val="TableNormal"/>
    <w:tblPr>
      <w:tblStyleRowBandSize w:val="1"/>
      <w:tblStyleColBandSize w:val="1"/>
      <w:tblCellMar>
        <w:top w:w="100.0" w:type="dxa"/>
        <w:left w:w="115.0" w:type="dxa"/>
        <w:bottom w:w="100.0" w:type="dxa"/>
        <w:right w:w="115.0" w:type="dxa"/>
      </w:tblCellMar>
    </w:tblPr>
  </w:style>
  <w:style w:type="table" w:styleId="23" w:customStyle="1">
    <w:name w:val="23"/>
    <w:basedOn w:val="TableNormal"/>
    <w:tblPr>
      <w:tblStyleRowBandSize w:val="1"/>
      <w:tblStyleColBandSize w:val="1"/>
      <w:tblCellMar>
        <w:top w:w="100.0" w:type="dxa"/>
        <w:left w:w="115.0" w:type="dxa"/>
        <w:bottom w:w="100.0" w:type="dxa"/>
        <w:right w:w="115.0" w:type="dxa"/>
      </w:tblCellMar>
    </w:tblPr>
  </w:style>
  <w:style w:type="table" w:styleId="22" w:customStyle="1">
    <w:name w:val="22"/>
    <w:basedOn w:val="TableNormal"/>
    <w:tblPr>
      <w:tblStyleRowBandSize w:val="1"/>
      <w:tblStyleColBandSize w:val="1"/>
      <w:tblCellMar>
        <w:top w:w="100.0" w:type="dxa"/>
        <w:left w:w="115.0" w:type="dxa"/>
        <w:bottom w:w="100.0" w:type="dxa"/>
        <w:right w:w="115.0" w:type="dxa"/>
      </w:tblCellMar>
    </w:tblPr>
  </w:style>
  <w:style w:type="table" w:styleId="21" w:customStyle="1">
    <w:name w:val="21"/>
    <w:basedOn w:val="TableNormal"/>
    <w:tblPr>
      <w:tblStyleRowBandSize w:val="1"/>
      <w:tblStyleColBandSize w:val="1"/>
      <w:tblCellMar>
        <w:top w:w="100.0" w:type="dxa"/>
        <w:left w:w="115.0" w:type="dxa"/>
        <w:bottom w:w="100.0" w:type="dxa"/>
        <w:right w:w="115.0" w:type="dxa"/>
      </w:tblCellMar>
    </w:tblPr>
  </w:style>
  <w:style w:type="table" w:styleId="20" w:customStyle="1">
    <w:name w:val="20"/>
    <w:basedOn w:val="TableNormal"/>
    <w:tblPr>
      <w:tblStyleRowBandSize w:val="1"/>
      <w:tblStyleColBandSize w:val="1"/>
      <w:tblCellMar>
        <w:top w:w="100.0" w:type="dxa"/>
        <w:left w:w="115.0" w:type="dxa"/>
        <w:bottom w:w="100.0" w:type="dxa"/>
        <w:right w:w="115.0" w:type="dxa"/>
      </w:tblCellMar>
    </w:tblPr>
  </w:style>
  <w:style w:type="table" w:styleId="19" w:customStyle="1">
    <w:name w:val="19"/>
    <w:basedOn w:val="TableNormal"/>
    <w:tblPr>
      <w:tblStyleRowBandSize w:val="1"/>
      <w:tblStyleColBandSize w:val="1"/>
      <w:tblCellMar>
        <w:top w:w="100.0" w:type="dxa"/>
        <w:left w:w="115.0" w:type="dxa"/>
        <w:bottom w:w="100.0" w:type="dxa"/>
        <w:right w:w="115.0" w:type="dxa"/>
      </w:tblCellMar>
    </w:tblPr>
  </w:style>
  <w:style w:type="table" w:styleId="18" w:customStyle="1">
    <w:name w:val="18"/>
    <w:basedOn w:val="TableNormal"/>
    <w:tblPr>
      <w:tblStyleRowBandSize w:val="1"/>
      <w:tblStyleColBandSize w:val="1"/>
      <w:tblCellMar>
        <w:top w:w="100.0" w:type="dxa"/>
        <w:left w:w="115.0" w:type="dxa"/>
        <w:bottom w:w="100.0" w:type="dxa"/>
        <w:right w:w="115.0" w:type="dxa"/>
      </w:tblCellMar>
    </w:tblPr>
  </w:style>
  <w:style w:type="table" w:styleId="17" w:customStyle="1">
    <w:name w:val="17"/>
    <w:basedOn w:val="TableNormal"/>
    <w:tblPr>
      <w:tblStyleRowBandSize w:val="1"/>
      <w:tblStyleColBandSize w:val="1"/>
      <w:tblCellMar>
        <w:top w:w="100.0" w:type="dxa"/>
        <w:left w:w="115.0" w:type="dxa"/>
        <w:bottom w:w="100.0" w:type="dxa"/>
        <w:right w:w="115.0" w:type="dxa"/>
      </w:tblCellMar>
    </w:tblPr>
  </w:style>
  <w:style w:type="table" w:styleId="16" w:customStyle="1">
    <w:name w:val="16"/>
    <w:basedOn w:val="TableNormal"/>
    <w:tblPr>
      <w:tblStyleRowBandSize w:val="1"/>
      <w:tblStyleColBandSize w:val="1"/>
      <w:tblCellMar>
        <w:top w:w="100.0" w:type="dxa"/>
        <w:left w:w="115.0" w:type="dxa"/>
        <w:bottom w:w="100.0" w:type="dxa"/>
        <w:right w:w="115.0" w:type="dxa"/>
      </w:tblCellMar>
    </w:tblPr>
  </w:style>
  <w:style w:type="table" w:styleId="15" w:customStyle="1">
    <w:name w:val="15"/>
    <w:basedOn w:val="TableNormal"/>
    <w:tblPr>
      <w:tblStyleRowBandSize w:val="1"/>
      <w:tblStyleColBandSize w:val="1"/>
      <w:tblCellMar>
        <w:top w:w="100.0" w:type="dxa"/>
        <w:left w:w="115.0" w:type="dxa"/>
        <w:bottom w:w="100.0" w:type="dxa"/>
        <w:right w:w="115.0" w:type="dxa"/>
      </w:tblCellMar>
    </w:tblPr>
  </w:style>
  <w:style w:type="table" w:styleId="14" w:customStyle="1">
    <w:name w:val="14"/>
    <w:basedOn w:val="TableNormal"/>
    <w:tblPr>
      <w:tblStyleRowBandSize w:val="1"/>
      <w:tblStyleColBandSize w:val="1"/>
      <w:tblCellMar>
        <w:top w:w="100.0" w:type="dxa"/>
        <w:left w:w="115.0" w:type="dxa"/>
        <w:bottom w:w="100.0" w:type="dxa"/>
        <w:right w:w="115.0" w:type="dxa"/>
      </w:tblCellMar>
    </w:tblPr>
  </w:style>
  <w:style w:type="table" w:styleId="13" w:customStyle="1">
    <w:name w:val="13"/>
    <w:basedOn w:val="TableNormal"/>
    <w:tblPr>
      <w:tblStyleRowBandSize w:val="1"/>
      <w:tblStyleColBandSize w:val="1"/>
      <w:tblCellMar>
        <w:top w:w="100.0" w:type="dxa"/>
        <w:left w:w="115.0" w:type="dxa"/>
        <w:bottom w:w="100.0" w:type="dxa"/>
        <w:right w:w="115.0" w:type="dxa"/>
      </w:tblCellMar>
    </w:tblPr>
  </w:style>
  <w:style w:type="table" w:styleId="12" w:customStyle="1">
    <w:name w:val="12"/>
    <w:basedOn w:val="TableNormal"/>
    <w:tblPr>
      <w:tblStyleRowBandSize w:val="1"/>
      <w:tblStyleColBandSize w:val="1"/>
      <w:tblCellMar>
        <w:top w:w="100.0" w:type="dxa"/>
        <w:left w:w="115.0" w:type="dxa"/>
        <w:bottom w:w="100.0" w:type="dxa"/>
        <w:right w:w="115.0" w:type="dxa"/>
      </w:tblCellMar>
    </w:tblPr>
  </w:style>
  <w:style w:type="table" w:styleId="11" w:customStyle="1">
    <w:name w:val="11"/>
    <w:basedOn w:val="TableNormal"/>
    <w:tblPr>
      <w:tblStyleRowBandSize w:val="1"/>
      <w:tblStyleColBandSize w:val="1"/>
      <w:tblCellMar>
        <w:top w:w="100.0" w:type="dxa"/>
        <w:left w:w="115.0" w:type="dxa"/>
        <w:bottom w:w="100.0" w:type="dxa"/>
        <w:right w:w="115.0" w:type="dxa"/>
      </w:tblCellMar>
    </w:tblPr>
  </w:style>
  <w:style w:type="table" w:styleId="10" w:customStyle="1">
    <w:name w:val="10"/>
    <w:basedOn w:val="TableNormal"/>
    <w:tblPr>
      <w:tblStyleRowBandSize w:val="1"/>
      <w:tblStyleColBandSize w:val="1"/>
      <w:tblCellMar>
        <w:top w:w="100.0" w:type="dxa"/>
        <w:left w:w="115.0" w:type="dxa"/>
        <w:bottom w:w="100.0" w:type="dxa"/>
        <w:right w:w="115.0" w:type="dxa"/>
      </w:tblCellMar>
    </w:tblPr>
  </w:style>
  <w:style w:type="table" w:styleId="9" w:customStyle="1">
    <w:name w:val="9"/>
    <w:basedOn w:val="TableNormal"/>
    <w:tblPr>
      <w:tblStyleRowBandSize w:val="1"/>
      <w:tblStyleColBandSize w:val="1"/>
      <w:tblCellMar>
        <w:top w:w="100.0" w:type="dxa"/>
        <w:left w:w="115.0" w:type="dxa"/>
        <w:bottom w:w="100.0" w:type="dxa"/>
        <w:right w:w="115.0" w:type="dxa"/>
      </w:tblCellMar>
    </w:tblPr>
  </w:style>
  <w:style w:type="table" w:styleId="8" w:customStyle="1">
    <w:name w:val="8"/>
    <w:basedOn w:val="TableNormal"/>
    <w:tblPr>
      <w:tblStyleRowBandSize w:val="1"/>
      <w:tblStyleColBandSize w:val="1"/>
      <w:tblCellMar>
        <w:top w:w="100.0" w:type="dxa"/>
        <w:left w:w="115.0" w:type="dxa"/>
        <w:bottom w:w="100.0" w:type="dxa"/>
        <w:right w:w="115.0" w:type="dxa"/>
      </w:tblCellMar>
    </w:tblPr>
  </w:style>
  <w:style w:type="table" w:styleId="7" w:customStyle="1">
    <w:name w:val="7"/>
    <w:basedOn w:val="TableNormal"/>
    <w:tblPr>
      <w:tblStyleRowBandSize w:val="1"/>
      <w:tblStyleColBandSize w:val="1"/>
      <w:tblCellMar>
        <w:top w:w="100.0" w:type="dxa"/>
        <w:left w:w="115.0" w:type="dxa"/>
        <w:bottom w:w="100.0" w:type="dxa"/>
        <w:right w:w="115.0" w:type="dxa"/>
      </w:tblCellMar>
    </w:tblPr>
  </w:style>
  <w:style w:type="table" w:styleId="6" w:customStyle="1">
    <w:name w:val="6"/>
    <w:basedOn w:val="TableNormal"/>
    <w:tblPr>
      <w:tblStyleRowBandSize w:val="1"/>
      <w:tblStyleColBandSize w:val="1"/>
      <w:tblCellMar>
        <w:top w:w="100.0" w:type="dxa"/>
        <w:left w:w="115.0" w:type="dxa"/>
        <w:bottom w:w="100.0" w:type="dxa"/>
        <w:right w:w="115.0" w:type="dxa"/>
      </w:tblCellMar>
    </w:tblPr>
  </w:style>
  <w:style w:type="table" w:styleId="5" w:customStyle="1">
    <w:name w:val="5"/>
    <w:basedOn w:val="TableNormal"/>
    <w:tblPr>
      <w:tblStyleRowBandSize w:val="1"/>
      <w:tblStyleColBandSize w:val="1"/>
      <w:tblCellMar>
        <w:top w:w="100.0" w:type="dxa"/>
        <w:left w:w="115.0" w:type="dxa"/>
        <w:bottom w:w="100.0" w:type="dxa"/>
        <w:right w:w="115.0" w:type="dxa"/>
      </w:tblCellMar>
    </w:tblPr>
  </w:style>
  <w:style w:type="table" w:styleId="a" w:customStyle="1">
    <w:basedOn w:val="TableNormal"/>
    <w:tblPr>
      <w:tblStyleRowBandSize w:val="1"/>
      <w:tblStyleColBandSize w:val="1"/>
      <w:tblCellMar>
        <w:top w:w="100.0" w:type="dxa"/>
        <w:left w:w="115.0" w:type="dxa"/>
        <w:bottom w:w="100.0" w:type="dxa"/>
        <w:right w:w="115.0" w:type="dxa"/>
      </w:tblCellMar>
    </w:tblPr>
  </w:style>
  <w:style w:type="table" w:styleId="a0" w:customStyle="1">
    <w:basedOn w:val="TableNormal"/>
    <w:tblPr>
      <w:tblStyleRowBandSize w:val="1"/>
      <w:tblStyleColBandSize w:val="1"/>
      <w:tblCellMar>
        <w:top w:w="100.0" w:type="dxa"/>
        <w:left w:w="115.0" w:type="dxa"/>
        <w:bottom w:w="100.0" w:type="dxa"/>
        <w:right w:w="115.0" w:type="dxa"/>
      </w:tblCellMar>
    </w:tblPr>
  </w:style>
  <w:style w:type="table" w:styleId="a1" w:customStyle="1">
    <w:basedOn w:val="TableNormal"/>
    <w:tblPr>
      <w:tblStyleRowBandSize w:val="1"/>
      <w:tblStyleColBandSize w:val="1"/>
      <w:tblCellMar>
        <w:top w:w="100.0" w:type="dxa"/>
        <w:left w:w="115.0" w:type="dxa"/>
        <w:bottom w:w="100.0" w:type="dxa"/>
        <w:right w:w="115.0" w:type="dxa"/>
      </w:tblCellMar>
    </w:tblPr>
  </w:style>
  <w:style w:type="table" w:styleId="a2" w:customStyle="1">
    <w:basedOn w:val="TableNormal"/>
    <w:tblPr>
      <w:tblStyleRowBandSize w:val="1"/>
      <w:tblStyleColBandSize w:val="1"/>
      <w:tblCellMar>
        <w:top w:w="100.0" w:type="dxa"/>
        <w:left w:w="115.0" w:type="dxa"/>
        <w:bottom w:w="100.0" w:type="dxa"/>
        <w:right w:w="115.0" w:type="dxa"/>
      </w:tblCellMar>
    </w:tblPr>
  </w:style>
  <w:style w:type="table" w:styleId="a3" w:customStyle="1">
    <w:basedOn w:val="TableNormal"/>
    <w:tblPr>
      <w:tblStyleRowBandSize w:val="1"/>
      <w:tblStyleColBandSize w:val="1"/>
      <w:tblCellMar>
        <w:top w:w="100.0" w:type="dxa"/>
        <w:left w:w="115.0" w:type="dxa"/>
        <w:bottom w:w="100.0" w:type="dxa"/>
        <w:right w:w="115.0" w:type="dxa"/>
      </w:tblCellMar>
    </w:tblPr>
  </w:style>
  <w:style w:type="table" w:styleId="a4" w:customStyle="1">
    <w:basedOn w:val="TableNormal"/>
    <w:tblPr>
      <w:tblStyleRowBandSize w:val="1"/>
      <w:tblStyleColBandSize w:val="1"/>
      <w:tblCellMar>
        <w:top w:w="100.0" w:type="dxa"/>
        <w:left w:w="115.0" w:type="dxa"/>
        <w:bottom w:w="100.0" w:type="dxa"/>
        <w:right w:w="115.0" w:type="dxa"/>
      </w:tblCellMar>
    </w:tblPr>
  </w:style>
  <w:style w:type="table" w:styleId="a5" w:customStyle="1">
    <w:basedOn w:val="TableNormal"/>
    <w:tblPr>
      <w:tblStyleRowBandSize w:val="1"/>
      <w:tblStyleColBandSize w:val="1"/>
      <w:tblCellMar>
        <w:top w:w="100.0" w:type="dxa"/>
        <w:left w:w="115.0" w:type="dxa"/>
        <w:bottom w:w="100.0" w:type="dxa"/>
        <w:right w:w="115.0" w:type="dxa"/>
      </w:tblCellMar>
    </w:tblPr>
  </w:style>
  <w:style w:type="table" w:styleId="a6" w:customStyle="1">
    <w:basedOn w:val="TableNormal"/>
    <w:tblPr>
      <w:tblStyleRowBandSize w:val="1"/>
      <w:tblStyleColBandSize w:val="1"/>
      <w:tblCellMar>
        <w:top w:w="100.0" w:type="dxa"/>
        <w:left w:w="115.0" w:type="dxa"/>
        <w:bottom w:w="100.0" w:type="dxa"/>
        <w:right w:w="115.0" w:type="dxa"/>
      </w:tblCellMar>
    </w:tblPr>
  </w:style>
  <w:style w:type="table" w:styleId="a7" w:customStyle="1">
    <w:basedOn w:val="TableNormal"/>
    <w:tblPr>
      <w:tblStyleRowBandSize w:val="1"/>
      <w:tblStyleColBandSize w:val="1"/>
      <w:tblCellMar>
        <w:top w:w="100.0" w:type="dxa"/>
        <w:left w:w="115.0" w:type="dxa"/>
        <w:bottom w:w="100.0" w:type="dxa"/>
        <w:right w:w="115.0" w:type="dxa"/>
      </w:tblCellMar>
    </w:tblPr>
  </w:style>
  <w:style w:type="table" w:styleId="a8" w:customStyle="1">
    <w:basedOn w:val="TableNormal"/>
    <w:tblPr>
      <w:tblStyleRowBandSize w:val="1"/>
      <w:tblStyleColBandSize w:val="1"/>
      <w:tblCellMar>
        <w:top w:w="100.0" w:type="dxa"/>
        <w:left w:w="115.0" w:type="dxa"/>
        <w:bottom w:w="100.0" w:type="dxa"/>
        <w:right w:w="115.0" w:type="dxa"/>
      </w:tblCellMar>
    </w:tblPr>
  </w:style>
  <w:style w:type="table" w:styleId="a9" w:customStyle="1">
    <w:basedOn w:val="TableNormal"/>
    <w:tblPr>
      <w:tblStyleRowBandSize w:val="1"/>
      <w:tblStyleColBandSize w:val="1"/>
      <w:tblCellMar>
        <w:top w:w="100.0" w:type="dxa"/>
        <w:left w:w="115.0" w:type="dxa"/>
        <w:bottom w:w="100.0" w:type="dxa"/>
        <w:right w:w="115.0" w:type="dxa"/>
      </w:tblCellMar>
    </w:tblPr>
  </w:style>
  <w:style w:type="table" w:styleId="aa" w:customStyle="1">
    <w:basedOn w:val="TableNormal"/>
    <w:tblPr>
      <w:tblStyleRowBandSize w:val="1"/>
      <w:tblStyleColBandSize w:val="1"/>
      <w:tblCellMar>
        <w:top w:w="100.0" w:type="dxa"/>
        <w:left w:w="115.0" w:type="dxa"/>
        <w:bottom w:w="100.0" w:type="dxa"/>
        <w:right w:w="115.0" w:type="dxa"/>
      </w:tblCellMar>
    </w:tblPr>
  </w:style>
  <w:style w:type="table" w:styleId="ab" w:customStyle="1">
    <w:basedOn w:val="TableNormal"/>
    <w:tblPr>
      <w:tblStyleRowBandSize w:val="1"/>
      <w:tblStyleColBandSize w:val="1"/>
      <w:tblCellMar>
        <w:top w:w="100.0" w:type="dxa"/>
        <w:left w:w="115.0" w:type="dxa"/>
        <w:bottom w:w="100.0" w:type="dxa"/>
        <w:right w:w="115.0" w:type="dxa"/>
      </w:tblCellMar>
    </w:tblPr>
  </w:style>
  <w:style w:type="table" w:styleId="ac" w:customStyle="1">
    <w:basedOn w:val="TableNormal"/>
    <w:tblPr>
      <w:tblStyleRowBandSize w:val="1"/>
      <w:tblStyleColBandSize w:val="1"/>
      <w:tblCellMar>
        <w:top w:w="100.0" w:type="dxa"/>
        <w:left w:w="115.0" w:type="dxa"/>
        <w:bottom w:w="100.0" w:type="dxa"/>
        <w:right w:w="115.0" w:type="dxa"/>
      </w:tblCellMar>
    </w:tblPr>
  </w:style>
  <w:style w:type="table" w:styleId="ad" w:customStyle="1">
    <w:basedOn w:val="TableNormal"/>
    <w:tblPr>
      <w:tblStyleRowBandSize w:val="1"/>
      <w:tblStyleColBandSize w:val="1"/>
      <w:tblCellMar>
        <w:top w:w="100.0" w:type="dxa"/>
        <w:left w:w="115.0" w:type="dxa"/>
        <w:bottom w:w="100.0" w:type="dxa"/>
        <w:right w:w="115.0" w:type="dxa"/>
      </w:tblCellMar>
    </w:tblPr>
  </w:style>
  <w:style w:type="table" w:styleId="ae" w:customStyle="1">
    <w:basedOn w:val="TableNormal"/>
    <w:tblPr>
      <w:tblStyleRowBandSize w:val="1"/>
      <w:tblStyleColBandSize w:val="1"/>
      <w:tblCellMar>
        <w:top w:w="100.0" w:type="dxa"/>
        <w:left w:w="115.0" w:type="dxa"/>
        <w:bottom w:w="100.0" w:type="dxa"/>
        <w:right w:w="115.0" w:type="dxa"/>
      </w:tblCellMar>
    </w:tblPr>
  </w:style>
  <w:style w:type="table" w:styleId="af" w:customStyle="1">
    <w:basedOn w:val="TableNormal"/>
    <w:tblPr>
      <w:tblStyleRowBandSize w:val="1"/>
      <w:tblStyleColBandSize w:val="1"/>
      <w:tblCellMar>
        <w:top w:w="100.0" w:type="dxa"/>
        <w:left w:w="115.0" w:type="dxa"/>
        <w:bottom w:w="100.0" w:type="dxa"/>
        <w:right w:w="115.0" w:type="dxa"/>
      </w:tblCellMar>
    </w:tblPr>
  </w:style>
  <w:style w:type="table" w:styleId="af0" w:customStyle="1">
    <w:basedOn w:val="TableNormal"/>
    <w:tblPr>
      <w:tblStyleRowBandSize w:val="1"/>
      <w:tblStyleColBandSize w:val="1"/>
      <w:tblCellMar>
        <w:top w:w="100.0" w:type="dxa"/>
        <w:left w:w="115.0" w:type="dxa"/>
        <w:bottom w:w="100.0" w:type="dxa"/>
        <w:right w:w="115.0" w:type="dxa"/>
      </w:tblCellMar>
    </w:tblPr>
  </w:style>
  <w:style w:type="table" w:styleId="af1" w:customStyle="1">
    <w:basedOn w:val="TableNormal"/>
    <w:tblPr>
      <w:tblStyleRowBandSize w:val="1"/>
      <w:tblStyleColBandSize w:val="1"/>
      <w:tblCellMar>
        <w:top w:w="100.0" w:type="dxa"/>
        <w:left w:w="115.0" w:type="dxa"/>
        <w:bottom w:w="100.0" w:type="dxa"/>
        <w:right w:w="115.0" w:type="dxa"/>
      </w:tblCellMar>
    </w:tblPr>
  </w:style>
  <w:style w:type="table" w:styleId="af2" w:customStyle="1">
    <w:basedOn w:val="TableNormal"/>
    <w:tblPr>
      <w:tblStyleRowBandSize w:val="1"/>
      <w:tblStyleColBandSize w:val="1"/>
      <w:tblCellMar>
        <w:top w:w="100.0" w:type="dxa"/>
        <w:left w:w="115.0" w:type="dxa"/>
        <w:bottom w:w="100.0" w:type="dxa"/>
        <w:right w:w="115.0" w:type="dxa"/>
      </w:tblCellMar>
    </w:tblPr>
  </w:style>
  <w:style w:type="table" w:styleId="af3" w:customStyle="1">
    <w:basedOn w:val="TableNormal"/>
    <w:tblPr>
      <w:tblStyleRowBandSize w:val="1"/>
      <w:tblStyleColBandSize w:val="1"/>
      <w:tblCellMar>
        <w:top w:w="100.0" w:type="dxa"/>
        <w:left w:w="115.0" w:type="dxa"/>
        <w:bottom w:w="100.0" w:type="dxa"/>
        <w:right w:w="115.0" w:type="dxa"/>
      </w:tblCellMar>
    </w:tblPr>
  </w:style>
  <w:style w:type="table" w:styleId="af4" w:customStyle="1">
    <w:basedOn w:val="TableNormal"/>
    <w:tblPr>
      <w:tblStyleRowBandSize w:val="1"/>
      <w:tblStyleColBandSize w:val="1"/>
      <w:tblCellMar>
        <w:top w:w="100.0" w:type="dxa"/>
        <w:left w:w="115.0" w:type="dxa"/>
        <w:bottom w:w="100.0" w:type="dxa"/>
        <w:right w:w="115.0" w:type="dxa"/>
      </w:tblCellMar>
    </w:tblPr>
  </w:style>
  <w:style w:type="table" w:styleId="af5" w:customStyle="1">
    <w:basedOn w:val="TableNormal"/>
    <w:tblPr>
      <w:tblStyleRowBandSize w:val="1"/>
      <w:tblStyleColBandSize w:val="1"/>
      <w:tblCellMar>
        <w:top w:w="100.0" w:type="dxa"/>
        <w:left w:w="115.0" w:type="dxa"/>
        <w:bottom w:w="100.0" w:type="dxa"/>
        <w:right w:w="115.0" w:type="dxa"/>
      </w:tblCellMar>
    </w:tblPr>
  </w:style>
  <w:style w:type="table" w:styleId="af6" w:customStyle="1">
    <w:basedOn w:val="TableNormal"/>
    <w:tblPr>
      <w:tblStyleRowBandSize w:val="1"/>
      <w:tblStyleColBandSize w:val="1"/>
      <w:tblCellMar>
        <w:top w:w="100.0" w:type="dxa"/>
        <w:left w:w="115.0" w:type="dxa"/>
        <w:bottom w:w="100.0" w:type="dxa"/>
        <w:right w:w="115.0" w:type="dxa"/>
      </w:tblCellMar>
    </w:tblPr>
  </w:style>
  <w:style w:type="table" w:styleId="af7" w:customStyle="1">
    <w:basedOn w:val="TableNormal"/>
    <w:tblPr>
      <w:tblStyleRowBandSize w:val="1"/>
      <w:tblStyleColBandSize w:val="1"/>
      <w:tblCellMar>
        <w:top w:w="100.0" w:type="dxa"/>
        <w:left w:w="115.0" w:type="dxa"/>
        <w:bottom w:w="100.0" w:type="dxa"/>
        <w:right w:w="115.0" w:type="dxa"/>
      </w:tblCellMar>
    </w:tblPr>
  </w:style>
  <w:style w:type="table" w:styleId="af8" w:customStyle="1">
    <w:basedOn w:val="TableNormal"/>
    <w:tblPr>
      <w:tblStyleRowBandSize w:val="1"/>
      <w:tblStyleColBandSize w:val="1"/>
      <w:tblCellMar>
        <w:top w:w="100.0" w:type="dxa"/>
        <w:left w:w="115.0" w:type="dxa"/>
        <w:bottom w:w="100.0" w:type="dxa"/>
        <w:right w:w="115.0" w:type="dxa"/>
      </w:tblCellMar>
    </w:tblPr>
  </w:style>
  <w:style w:type="table" w:styleId="af9" w:customStyle="1">
    <w:basedOn w:val="TableNormal"/>
    <w:tblPr>
      <w:tblStyleRowBandSize w:val="1"/>
      <w:tblStyleColBandSize w:val="1"/>
      <w:tblCellMar>
        <w:top w:w="100.0" w:type="dxa"/>
        <w:left w:w="115.0" w:type="dxa"/>
        <w:bottom w:w="100.0" w:type="dxa"/>
        <w:right w:w="115.0" w:type="dxa"/>
      </w:tblCellMar>
    </w:tblPr>
  </w:style>
  <w:style w:type="table" w:styleId="afa" w:customStyle="1">
    <w:basedOn w:val="TableNormal"/>
    <w:tblPr>
      <w:tblStyleRowBandSize w:val="1"/>
      <w:tblStyleColBandSize w:val="1"/>
      <w:tblCellMar>
        <w:top w:w="100.0" w:type="dxa"/>
        <w:left w:w="115.0" w:type="dxa"/>
        <w:bottom w:w="100.0" w:type="dxa"/>
        <w:right w:w="115.0" w:type="dxa"/>
      </w:tblCellMar>
    </w:tblPr>
  </w:style>
  <w:style w:type="table" w:styleId="afb" w:customStyle="1">
    <w:basedOn w:val="TableNormal"/>
    <w:tblPr>
      <w:tblStyleRowBandSize w:val="1"/>
      <w:tblStyleColBandSize w:val="1"/>
      <w:tblCellMar>
        <w:top w:w="100.0" w:type="dxa"/>
        <w:left w:w="115.0" w:type="dxa"/>
        <w:bottom w:w="100.0" w:type="dxa"/>
        <w:right w:w="115.0" w:type="dxa"/>
      </w:tblCellMar>
    </w:tblPr>
  </w:style>
  <w:style w:type="table" w:styleId="afc" w:customStyle="1">
    <w:basedOn w:val="TableNormal"/>
    <w:tblPr>
      <w:tblStyleRowBandSize w:val="1"/>
      <w:tblStyleColBandSize w:val="1"/>
      <w:tblCellMar>
        <w:top w:w="100.0" w:type="dxa"/>
        <w:left w:w="115.0" w:type="dxa"/>
        <w:bottom w:w="100.0" w:type="dxa"/>
        <w:right w:w="115.0" w:type="dxa"/>
      </w:tblCellMar>
    </w:tblPr>
  </w:style>
  <w:style w:type="table" w:styleId="afd" w:customStyle="1">
    <w:basedOn w:val="TableNormal"/>
    <w:tblPr>
      <w:tblStyleRowBandSize w:val="1"/>
      <w:tblStyleColBandSize w:val="1"/>
      <w:tblCellMar>
        <w:top w:w="100.0" w:type="dxa"/>
        <w:left w:w="115.0" w:type="dxa"/>
        <w:bottom w:w="100.0" w:type="dxa"/>
        <w:right w:w="115.0" w:type="dxa"/>
      </w:tblCellMar>
    </w:tblPr>
  </w:style>
  <w:style w:type="table" w:styleId="afe" w:customStyle="1">
    <w:basedOn w:val="TableNormal"/>
    <w:tblPr>
      <w:tblStyleRowBandSize w:val="1"/>
      <w:tblStyleColBandSize w:val="1"/>
      <w:tblCellMar>
        <w:top w:w="100.0" w:type="dxa"/>
        <w:left w:w="115.0" w:type="dxa"/>
        <w:bottom w:w="100.0" w:type="dxa"/>
        <w:right w:w="115.0" w:type="dxa"/>
      </w:tblCellMar>
    </w:tblPr>
  </w:style>
  <w:style w:type="table" w:styleId="aff" w:customStyle="1">
    <w:basedOn w:val="TableNormal"/>
    <w:tblPr>
      <w:tblStyleRowBandSize w:val="1"/>
      <w:tblStyleColBandSize w:val="1"/>
      <w:tblCellMar>
        <w:top w:w="100.0" w:type="dxa"/>
        <w:left w:w="115.0" w:type="dxa"/>
        <w:bottom w:w="100.0" w:type="dxa"/>
        <w:right w:w="115.0" w:type="dxa"/>
      </w:tblCellMar>
    </w:tblPr>
  </w:style>
  <w:style w:type="table" w:styleId="aff0" w:customStyle="1">
    <w:basedOn w:val="TableNormal"/>
    <w:tblPr>
      <w:tblStyleRowBandSize w:val="1"/>
      <w:tblStyleColBandSize w:val="1"/>
      <w:tblCellMar>
        <w:top w:w="100.0" w:type="dxa"/>
        <w:left w:w="115.0" w:type="dxa"/>
        <w:bottom w:w="100.0" w:type="dxa"/>
        <w:right w:w="115.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paragraph" w:styleId="TOC3">
    <w:name w:val="toc 3"/>
    <w:basedOn w:val="Normal"/>
    <w:next w:val="Normal"/>
    <w:autoRedefine w:val="1"/>
    <w:uiPriority w:val="39"/>
    <w:unhideWhenUsed w:val="1"/>
    <w:rsid w:val="00C16EEE"/>
    <w:pPr>
      <w:spacing w:after="100"/>
      <w:ind w:left="440"/>
    </w:pPr>
  </w:style>
  <w:style w:type="paragraph" w:styleId="TOC4">
    <w:name w:val="toc 4"/>
    <w:basedOn w:val="Normal"/>
    <w:next w:val="Normal"/>
    <w:autoRedefine w:val="1"/>
    <w:uiPriority w:val="39"/>
    <w:unhideWhenUsed w:val="1"/>
    <w:rsid w:val="00C16EEE"/>
    <w:pPr>
      <w:spacing w:after="100"/>
      <w:ind w:left="660"/>
    </w:p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pPr>
      <w:spacing w:line="240" w:lineRule="auto"/>
    </w:pPr>
    <w:tblPr>
      <w:tblStyleRowBandSize w:val="1"/>
      <w:tblStyleColBandSize w:val="1"/>
    </w:tblPr>
  </w:style>
  <w:style w:type="table" w:styleId="affffa" w:customStyle="1">
    <w:basedOn w:val="TableNormal"/>
    <w:tblPr>
      <w:tblStyleRowBandSize w:val="1"/>
      <w:tblStyleColBandSize w:val="1"/>
      <w:tblCellMar>
        <w:top w:w="15.0" w:type="dxa"/>
        <w:left w:w="15.0" w:type="dxa"/>
        <w:bottom w:w="15.0" w:type="dxa"/>
        <w:right w:w="15.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paragraph" w:styleId="SubHeading" w:customStyle="1">
    <w:name w:val="SubHeading"/>
    <w:basedOn w:val="Normal"/>
    <w:link w:val="SubHeadingChar"/>
    <w:qFormat w:val="1"/>
    <w:rsid w:val="006F228A"/>
    <w:pPr>
      <w:spacing w:after="150"/>
    </w:pPr>
    <w:rPr>
      <w:b w:val="1"/>
      <w:bCs w:val="1"/>
      <w:i w:val="1"/>
      <w:iCs w:val="1"/>
      <w:color w:val="c00000"/>
      <w:sz w:val="24"/>
      <w:szCs w:val="24"/>
    </w:rPr>
  </w:style>
  <w:style w:type="character" w:styleId="SubHeadingChar" w:customStyle="1">
    <w:name w:val="SubHeading Char"/>
    <w:basedOn w:val="DefaultParagraphFont"/>
    <w:link w:val="SubHeading"/>
    <w:rsid w:val="006F228A"/>
    <w:rPr>
      <w:b w:val="1"/>
      <w:bCs w:val="1"/>
      <w:i w:val="1"/>
      <w:iCs w:val="1"/>
      <w:color w:val="c00000"/>
      <w:sz w:val="24"/>
      <w:szCs w:val="24"/>
    </w:rPr>
  </w:style>
  <w:style w:type="paragraph" w:styleId="Heading" w:customStyle="1">
    <w:name w:val="Heading"/>
    <w:basedOn w:val="Heading3"/>
    <w:link w:val="HeadingChar"/>
    <w:qFormat w:val="1"/>
    <w:rsid w:val="006F228A"/>
  </w:style>
  <w:style w:type="character" w:styleId="Heading3Char" w:customStyle="1">
    <w:name w:val="Heading 3 Char"/>
    <w:basedOn w:val="DefaultParagraphFont"/>
    <w:link w:val="Heading3"/>
    <w:uiPriority w:val="9"/>
    <w:rsid w:val="006F228A"/>
    <w:rPr>
      <w:b w:val="1"/>
      <w:bCs w:val="1"/>
      <w:sz w:val="28"/>
      <w:szCs w:val="28"/>
    </w:rPr>
  </w:style>
  <w:style w:type="character" w:styleId="HeadingChar" w:customStyle="1">
    <w:name w:val="Heading Char"/>
    <w:basedOn w:val="Heading3Char"/>
    <w:link w:val="Heading"/>
    <w:rsid w:val="006F228A"/>
    <w:rPr>
      <w:b w:val="1"/>
      <w:bCs w:val="1"/>
      <w:sz w:val="28"/>
      <w:szCs w:val="2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ZGDvRu1rbD5L6p4/bfpS7oXZoQ==">CgMxLjAyDmguOWhhMXBvZm4wbDliOAByITFQZ1FxTHZDY0JaSjhjYWVSQkpJbFJiS21IWHFkbWtsTQ==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2026-01-22T19:35:00Z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2017-08-07T00:00:00Z</vt:lpwstr>
  </property>
  <property fmtid="{D5CDD505-2E9C-101B-9397-08002B2CF9AE}" pid="3" name="Creator">
    <vt:lpwstr>Microsoft® Word 2013</vt:lpwstr>
  </property>
  <property fmtid="{D5CDD505-2E9C-101B-9397-08002B2CF9AE}" pid="4" name="LastSaved">
    <vt:lpwstr>2017-08-08T00:00:00Z</vt:lpwstr>
  </property>
  <property fmtid="{D5CDD505-2E9C-101B-9397-08002B2CF9AE}" pid="5" name="ContentTypeId">
    <vt:lpwstr>0x01010075A9A0818293234088014F33A56D0392</vt:lpwstr>
  </property>
</Properties>
</file>